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粤港澳大湾区“菜篮子”产品上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溯源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平台流通</w:t>
      </w: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相关规则的说明</w:t>
      </w:r>
    </w:p>
    <w:p>
      <w:pPr>
        <w:spacing w:line="24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336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一、产品赋码</w:t>
      </w:r>
    </w:p>
    <w:p>
      <w:pPr>
        <w:spacing w:line="336" w:lineRule="auto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产品赋码资格：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粤港澳大湾区“菜篮子”生产基地、加工企业（以下简称为“企业”）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上市流通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183天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内至少经过一次粤港澳大湾区“菜篮子”平台或各配送中心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分中心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承检机构（以下简称“承检机构”）风险监测合格；或提供产品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183天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内其它具有资质的第三方检测机构的检测报告书，经承检机构评估通过，企业方可对该产品使用粤港澳大湾区“菜篮子”logo和产品溯源码上市流通。</w:t>
      </w:r>
    </w:p>
    <w:p>
      <w:pPr>
        <w:spacing w:line="336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产品首次赋码流通：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企业的某个产品首次使用粤港澳大湾区“菜篮子”产品标识上市，需要通过承检机构的风险监测合格后，企业方可对该产品使用粤港澳大湾区“菜篮子”logo和产品溯源码上市流通。</w:t>
      </w:r>
    </w:p>
    <w:p>
      <w:pPr>
        <w:spacing w:line="336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二、产品检测报告书有效期提醒</w:t>
      </w:r>
    </w:p>
    <w:p>
      <w:pPr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产品风险监测报告书有效期即将到期（提前30天）或产品从未经过承检机构风险监测的，溯源管理平台将自动提醒企业送检该产品。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溯源码与检测报告书绑定</w:t>
      </w:r>
    </w:p>
    <w:p>
      <w:pPr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品经过承检机构风险监测合格或评估通过后，企业通过溯源管理平台对该产品进行“赋码”出场登记产品流通量时，溯源管理平台默认登记该基地、该产品后面183天内所有的批次为“检测合格”，并且自动绑定最近一次检测报告，特殊情况除外。</w:t>
      </w:r>
    </w:p>
    <w:p>
      <w:pPr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风险监测合格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183天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有效期内，企业必须主动配合抽检。产品抽检合格则可以继续赋码出售，抽检不合格则关闭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溯源码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扫码显示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直至通过整改和抽检合格，由承检机构评估通过，并上传报告后，平台才重新激活该产品的溯源码。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产品上平台流通</w:t>
      </w:r>
    </w:p>
    <w:p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生产基地、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加工企业应及时将符合赋码资格条件的所有产品上平台流通，以便平台掌握各种产品流通情况，为粤港澳大湾区“菜篮子”平台的健康发展提供有力的数据支撑。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FD46C"/>
    <w:multiLevelType w:val="singleLevel"/>
    <w:tmpl w:val="3AEFD46C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C5486"/>
    <w:rsid w:val="041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2020-06-23T07:32:00Z</dcterms:created>
  <dc:creator>谢曼莹1592895644955</dc:creator>
  <cp:lastModifiedBy>谢曼莹1592895644955</cp:lastModifiedBy>
  <dcterms:modified xsi:type="dcterms:W3CDTF">2020-06-23T07:32:45Z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