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粤港澳大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湾区“菜篮子”产品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质量安全监控方案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（修订）</w:t>
      </w:r>
    </w:p>
    <w:p>
      <w:pPr>
        <w:widowControl w:val="0"/>
        <w:spacing w:line="336" w:lineRule="auto"/>
        <w:jc w:val="both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336" w:lineRule="auto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第一章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总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则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第一条  为保障粤港澳大湾区“菜篮子”产品的质量安全，根据国家相关法律法规和政策规定，制定本方案。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第二条  本方案适用于粤港澳大湾区“菜篮子”（以下简称大湾区“菜篮子”）生产基地、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、销售企业、承检机构涉及产品质量安全行为的监控和规范。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第三条  本方案旨在通过对源头进行有效管控，结合风险监测和产品抽检手段，建立从生产、加工、运输到销售的全过程质量安全监控体系，保证产品的质量安全。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第四条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粤港澳大湾区“菜篮子”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农产品质量安全溯源管理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（以下简称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实行“逢进必检”“逢出必检”原则。所有进出大湾区“菜篮子”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平台的产品都必须按照风险监测计划、抽检规则、企业自检规定进行检测。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第五条  各属地相关行政部门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海关在职责范围内，负责所辖区域大湾区“菜篮子”生产基地、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、销售企业、承检机构的监督管理工作。</w:t>
      </w:r>
    </w:p>
    <w:p>
      <w:pPr>
        <w:widowControl w:val="0"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第六条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、销售企业、承检机构应当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使用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遵守承诺，确保大湾区“菜篮子”产品的质量安全，自觉维护大湾区“菜篮子”品牌的信誉。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大湾区“菜篮子”生产基地或产品加工企业应在大湾区“菜篮子”溯源平台登记生产基地或产品加工企业简介、产品介绍、主要农事记录、供港澳资质证明、大湾区“菜篮子”生产基地或产品加工企业认定证书、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个月内的产品自检报告等信息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并经粤港澳大湾区“菜篮子”工作办公室审核通过后，才能使用大湾区“菜篮子”溯源平台和标识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平台建立准入与退出机制，对大湾区“菜篮子”生产基地、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、销售企业、承检机构实行动态管理，确保全过程、各环节符合本方案要求。</w:t>
      </w:r>
    </w:p>
    <w:p>
      <w:pPr>
        <w:widowControl/>
        <w:snapToGrid w:val="0"/>
        <w:spacing w:line="336" w:lineRule="auto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 w:val="0"/>
        <w:spacing w:line="336" w:lineRule="auto"/>
        <w:ind w:firstLine="0" w:firstLineChars="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第二章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生产基地管理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第九条  各属地相关行政部门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海关按照属地管理原则，对生产基地的生产过程、农业投入品的使用进行监督管理。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第十条  生产基地应建立健全内部管理制度，如实记录农事活动。种植基地应记录农业投入品（种子、农药、化肥等）的使用及产品采收等情况；养殖基地应记录饲料、药物、疫苗、消毒产品使用及出栏/捕捞等情况。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第十一条  生产基地使用的农业投入品必须是国家法律法规允许的产品，不得使用禁用药物，不得超范围、超量用药，并严格遵守用药安全间隔期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规定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第十二条  鼓励生产基地申请绿色食品、有机食品、地理标志产品等认证，提升种植和养殖管理水平。</w:t>
      </w:r>
    </w:p>
    <w:p>
      <w:pPr>
        <w:widowControl w:val="0"/>
        <w:spacing w:line="336" w:lineRule="auto"/>
        <w:ind w:firstLine="640" w:firstLineChars="200"/>
        <w:jc w:val="both"/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336" w:lineRule="auto"/>
        <w:ind w:firstLine="640" w:firstLineChars="20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第三章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产品加工企业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管理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第十三条  各属地相关行政部门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海关根据职能要求对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的生产过程进行监管。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第十四条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应当建立原料进货查验记录制度，核查进厂原料随附的原料基地证明文件。进货查验记录应当真实，保存期限不得少于2年。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第十五条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应当建立出厂检验记录制度，依照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粤港澳大湾区“菜篮子”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平台产品质量安全指标体系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，结合生产基地用药情况和产品加工流程特点，有针对性地对其产品进行检验。如实记录出厂产品的名称、规格、数量、生产日期等内容。出厂检验记录应当真实，保存期限不得少于2年。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第十六条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应当在其产品运输包装和销售包装的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上注明以下内容：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名称、地址、证书编号、产品名称、生产日期、储存条件等。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第十七条  鼓励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采用先进加工技术和装备，如蔬果清洗、净化、分拣设备等。不得使用禁用的化学清洁剂、消毒剂以及其他影响农产品质量安全的物质。</w:t>
      </w:r>
    </w:p>
    <w:p>
      <w:pPr>
        <w:widowControl w:val="0"/>
        <w:spacing w:line="336" w:lineRule="auto"/>
        <w:ind w:firstLine="640" w:firstLineChars="200"/>
        <w:jc w:val="both"/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line="336" w:lineRule="auto"/>
        <w:ind w:firstLine="640" w:firstLineChars="20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第四章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风险监测与抽检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第十八条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平台对生产基地和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实行风险监测和抽检制度，生产基地和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须主动配合风险监测计划和抽检制度的实施。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第十九条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风险监测计划由属地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农业农村部门或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海关依据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粤港澳大湾区“菜篮子”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平台产品质量安全指标体系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，结合海关总署发布的供港澳农产品风险监测计划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或属地农产品风险监测计划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、各地用药情况、市场监管部门抽检情况等综合信息进行制定。风险监测计划每年进行动态调整。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各承检机构负责风险监测计划的执行。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第二十条  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产品加工企业需通过平台进行溯源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的产品在进入大湾区“菜篮子”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平台之前均须进行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质量安全合格评定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评定合格的产品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可获得进入大湾区“菜篮子”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平台的资格。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承检机构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根据产品质量安全风险监测、抽检、合格评定以及产品生产实际情况采取不定期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抽检的方式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在大湾区“菜篮子”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登记的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质量安全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进行监控，由承检机构现场抽检或通知生产基地、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取样送检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，相关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产品加工企业应当予以配合，不予配合的，取消其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产品加工企业认定资格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抽检以定量检测为主，定性筛查为辅。定量检测项目依据生产基地用药情况和既往检测情况进行设定。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风险监测或抽检不合格的产品，暂停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该产品在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的溯源查询资格和使用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产品标识资格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，由属地相关行政部门和海关进行不合格原因调查，监督指导生产基地、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进行整改。承检机构须对该生产基地、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的同类产品进行抽检，抽检合格后，承检机构上传检验合格报告，由大湾区“菜篮子”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平台恢复其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溯源查询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资格；抽检仍不合格的，暂停该产品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的溯源查询资格和使用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产品标识资格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3个月，直至取消认定资格。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风险监测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抽检记录应保存3年以上，样品保存按相关标准执行。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 w:val="0"/>
        <w:spacing w:line="336" w:lineRule="auto"/>
        <w:ind w:firstLine="640" w:firstLineChars="20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第五章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合格评定与溯源二维码管理</w:t>
      </w:r>
    </w:p>
    <w:p>
      <w:pPr>
        <w:spacing w:line="336" w:lineRule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应将自检报告上传至大湾区“菜篮子”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平台；承检机构应将风险监测报告、抽检报告上传至大湾区“菜篮子”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平台。</w:t>
      </w:r>
    </w:p>
    <w:p>
      <w:pPr>
        <w:spacing w:line="336" w:lineRule="auto"/>
        <w:ind w:firstLine="640" w:firstLineChars="200"/>
        <w:rPr>
          <w:rFonts w:hint="default"/>
          <w:color w:val="auto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承检机构根据自检报告或风险监测报告、抽检报告，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给出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该产品是否符合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粤港澳大湾区“菜篮子”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平台产品质量安全指标体系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的评定结论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粤港澳大湾区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“菜篮子”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工作办公室对承检机构的评定结果进行随机抽查，如出现违规行为，将依据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《粤港澳大湾区“菜篮子”产品配送中心质量安全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承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检机构管理规范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（试行）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进行相应处理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经评定合格的产品方可激活溯源二维码，进入大湾区“菜篮子”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登记并查询溯源信息和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使用大湾区“菜篮子”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spacing w:line="336" w:lineRule="auto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对风险监测或抽检不合格的产品，在恢复上平台后将列为重点抽检对象，提高抽检频次。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 w:val="0"/>
        <w:spacing w:line="336" w:lineRule="auto"/>
        <w:ind w:firstLine="640" w:firstLineChars="20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第六章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监督管理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二十八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按照属地管理原则，各地相关行政部门和海关应对“菜篮子”生产基地和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进行监督管理，发现问题应及时责令改正，必要时对其产品进行现场抽检，并将情况及时报送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粤港澳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办公室。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二十九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对生产基地的日常监督检查主要内容包括：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（一）生产基地周围环境状况；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（二）生产基地的位置和种植情况；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（三）出货数量与生产规模是否相匹配；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（四）生产记录是否完整、规范；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（五）病虫害防治情况；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（六）有毒有害物质检测记录。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第三十条  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的日常监督检查主要内容包括：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（一）生产区域环境状况；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（二）进货查验记录和出厂检验记录；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（三）加工原料证明文件查验情况；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使用情况；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（五）质量安全自检自控体系运行情况；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（六）有毒有害物质监控记录。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生产基地有下列情形之一的，责令整改：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（一）周围环境有污染源的；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（二）存放禁用农兽药的；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（三）违反相关规定以及基地安全用药制度，违规使用农兽药的；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（四）产品的药物残留或者有毒有害物质超标的；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（五）生产基地实际供货量超出基地供货能力的。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有下列情形之一的，责令整改：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（一）质量管理体系运行不良的；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（二）设施设备与生产能力不相适应的；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（三）进货查验记录和出厂检验记录不全的；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（四）违反规定收购非生产基地原料作为供大湾区“菜篮子”产品加工原料的；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使用不符合要求的；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（六）产品的药物残留或者有毒有害物质超标的；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（七）产品被其他部门抽检并通报不合格的。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生产基地有下列行为之一的，</w:t>
      </w:r>
      <w:bookmarkStart w:id="0" w:name="_Hlk26912077"/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取消认定资格</w:t>
      </w:r>
      <w:bookmarkEnd w:id="0"/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（一）隐瞒或者谎报重大疫情的；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（二）拒绝接受监督管理的；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（三）使用港澳和内地禁用农（兽）药的；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（四）药物残留或者有毒有害物质超标1年内达到3次的；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（五）被检出药物残留与申报或者药物使用记录不符的；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（六）生产基地备案主体更名、基地位置或者面积发生变化、周边环境有较大改变可能直接或者间接影响基地产品质量安全的，以及有其他较大变更情况的，但未按规定及时办理变更手续或者重新申请认定的；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（七）</w:t>
      </w:r>
      <w:bookmarkStart w:id="1" w:name="_Hlk26912152"/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无正当理由连续6个月内未在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登记产品溯源信息的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bookmarkEnd w:id="1"/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（八）基地实际供货量超出基地供货能力1年内达到3次的；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（九）在日常监督中不合格的，责令限期整改，整改后仍不合格的。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有下列行为之一的，取消认定资格：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（一）整改后仍不合格的；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（二）隐瞒或者谎报重大质量安全问题的；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（三）被有关部门通报质量安全不合格1年内达到3次的；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（四）企业法定代表人和企业名称发生变化、生产车间地址变化或者有其他较大变更情况的，但未按规定及时办理变更手续的；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（五）无正当理由连续6个月内未在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溯源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平台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登记产品溯源信息的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</w:t>
      </w:r>
      <w:bookmarkStart w:id="2" w:name="_Hlk27343689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粤港澳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办公室</w:t>
      </w:r>
      <w:bookmarkEnd w:id="2"/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不定期对认定的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“菜篮子”销售企业进行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使用随机检查，发现违规者责令整改，情节严重的取消其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“菜篮子”销售企业资格。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粤港澳大湾区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办公室对各地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、销售企业和承检机构实施随机检查和专项督查。检查的对象、频次和内容根据各地实际情况而定。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 w:val="0"/>
        <w:spacing w:line="336" w:lineRule="auto"/>
        <w:ind w:firstLine="640" w:firstLineChars="200"/>
        <w:jc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第七章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附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  <w:lang w:val="en-US" w:eastAsia="zh-CN" w:bidi="ar-SA"/>
        </w:rPr>
        <w:t>则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第三十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方案所称的粤港澳大湾区“菜篮子”工作办公室，是指广州市农业农村局设立的负责落实“菜篮子”工作领导小组确定的有关任务，统筹协调、政策制定、整体推进和督促落实粤港澳大湾区“菜篮子”建设发展事务的工作办公室。</w:t>
      </w:r>
    </w:p>
    <w:p>
      <w:pPr>
        <w:widowControl w:val="0"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第三十八条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本方案所称的生产基地，是指获得所在地农业行政主管部门审核推荐、经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广州市农业农村局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核准认定的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粤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大湾区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“菜篮子”农产品生产基地。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三十九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本方案所称的产品加工企业，是指经广州市农业农村局核准认定的初加工产品的产品加工企业（包括蔬菜、水果、食用油、禽畜产品、乳品、蜂产品和水产品等七大类）。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color w:val="0000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第四十条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本方案所称的自检报告，是指各相关部门和海关对生产基地、产品加工企业的产品抽检报告以及生产基地、产品加工企业委托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有资质检测机构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出具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的检测报告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第四十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承检机构的资质认定、监督和评价按《粤港澳大湾区“菜篮子”产品配送中心质量安全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承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检机构管理规范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（试行）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》执行。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第四十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生产基地、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产品加工企业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的诚信评价按《粤港澳大湾区“菜篮子”企业诚信管理意见》执行。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第四十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使用管理按《粤港澳大湾区“菜篮子”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产品标识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管理规则》执行。</w:t>
      </w:r>
    </w:p>
    <w:p>
      <w:pPr>
        <w:widowControl/>
        <w:snapToGrid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第四十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本方案由粤港澳大湾区“菜篮子”工作办公室负责解释。</w:t>
      </w:r>
    </w:p>
    <w:p>
      <w:pPr>
        <w:widowControl w:val="0"/>
        <w:spacing w:line="336" w:lineRule="auto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第四十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条  本方案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修订版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印发之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日起施行。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粤港澳大湾区“菜篮子”产品上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溯源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平台流通相关规则的说明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》同时废止。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C6492"/>
    <w:rsid w:val="2AB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3" w:lineRule="auto"/>
      <w:jc w:val="both"/>
      <w:textAlignment w:val="baseline"/>
    </w:pPr>
    <w:rPr>
      <w:rFonts w:ascii="宋体" w:hAnsi="宋体" w:eastAsia="宋体" w:cs="Times New Roman"/>
      <w:b/>
      <w:bCs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2020-12-22T07:45:00Z</dcterms:created>
  <dc:creator>采编编辑1608622276878</dc:creator>
  <cp:lastModifiedBy>采编编辑1608622276878</cp:lastModifiedBy>
  <dcterms:modified xsi:type="dcterms:W3CDTF">2020-12-22T07:45:57Z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