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spacing w:line="336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Times New Roman"/>
          <w:spacing w:val="-11"/>
          <w:kern w:val="2"/>
          <w:sz w:val="44"/>
          <w:szCs w:val="32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/>
          <w:spacing w:val="-11"/>
          <w:sz w:val="44"/>
          <w:szCs w:val="32"/>
        </w:rPr>
        <w:t>广州市</w:t>
      </w:r>
      <w:r>
        <w:rPr>
          <w:rFonts w:hint="eastAsia" w:ascii="方正小标宋简体" w:hAnsi="方正小标宋简体" w:eastAsia="方正小标宋简体"/>
          <w:spacing w:val="-11"/>
          <w:sz w:val="44"/>
          <w:szCs w:val="32"/>
          <w:lang w:eastAsia="zh-CN"/>
        </w:rPr>
        <w:t>级</w:t>
      </w:r>
      <w:r>
        <w:rPr>
          <w:rFonts w:hint="eastAsia" w:ascii="方正小标宋简体" w:hAnsi="方正小标宋简体" w:eastAsia="方正小标宋简体"/>
          <w:spacing w:val="-11"/>
          <w:sz w:val="44"/>
          <w:szCs w:val="32"/>
        </w:rPr>
        <w:t>农业龙头企业</w:t>
      </w:r>
      <w:r>
        <w:rPr>
          <w:rFonts w:hint="eastAsia" w:ascii="方正小标宋简体" w:hAnsi="方正小标宋简体" w:eastAsia="方正小标宋简体"/>
          <w:spacing w:val="-11"/>
          <w:sz w:val="44"/>
          <w:szCs w:val="32"/>
          <w:lang w:eastAsia="zh-CN"/>
        </w:rPr>
        <w:t>监测合格</w:t>
      </w:r>
      <w:r>
        <w:rPr>
          <w:rFonts w:hint="eastAsia" w:ascii="方正小标宋简体" w:hAnsi="方正小标宋简体" w:eastAsia="方正小标宋简体"/>
          <w:spacing w:val="-11"/>
          <w:sz w:val="44"/>
          <w:szCs w:val="32"/>
        </w:rPr>
        <w:t>名单</w:t>
      </w: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29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家）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/>
        </w:rPr>
      </w:pP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黑体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海珠</w:t>
      </w:r>
      <w:r>
        <w:rPr>
          <w:rFonts w:hint="eastAsia" w:ascii="黑体" w:hAnsi="黑体" w:eastAsia="黑体" w:cs="宋体"/>
          <w:kern w:val="0"/>
          <w:sz w:val="32"/>
          <w:szCs w:val="32"/>
        </w:rPr>
        <w:t>区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2家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）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1.广州市康寿食品有限公司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2.广州乾农农业科技发展有限公司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宋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u w:val="none"/>
          <w:lang w:eastAsia="zh-CN" w:bidi="ar"/>
        </w:rPr>
        <w:t>天河区</w:t>
      </w:r>
      <w:r>
        <w:rPr>
          <w:rFonts w:hint="eastAsia" w:ascii="黑体" w:hAnsi="黑体" w:eastAsia="黑体" w:cs="宋体"/>
          <w:kern w:val="0"/>
          <w:sz w:val="32"/>
          <w:szCs w:val="32"/>
        </w:rPr>
        <w:t>（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32"/>
          <w:szCs w:val="32"/>
        </w:rPr>
        <w:t>家）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3.广州艾米会生态农业科技有限公司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4.广州市健坤网络科技发展有限公司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5.广东新南都饲料科技有限公司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宋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白云区（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"/>
        </w:rPr>
        <w:t>4家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6.广州金水动物保健品有限公司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7.广州市白云区东旺批发市场经营管理有限公司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8.广州丽恒科技开发有限公司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9.广州粮年进出口贸易有限公司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宋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黄埔区（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"/>
        </w:rPr>
        <w:t>1家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广州生长地农业科技有限公司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宋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花都区（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"/>
        </w:rPr>
        <w:t>1家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广州市三福禽畜养殖有限公司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宋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番禺区（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"/>
        </w:rPr>
        <w:t>5家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2.广州市番禺莲花山农业机械供应有限公司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13.广州至信药业股份有限公司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14.广州八味缘供应链管理有限公司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15.广州益翔山湖生态农业发展有限公司</w:t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16.广州市新富禺市场经营管理有限公司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宋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南沙区（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"/>
        </w:rPr>
        <w:t>7家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17.广州市正安食品有限公司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18.广州尚好菜食品有限公司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19.广州市珠江饼业食品有限公司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20.广州植之元油脂实业有限公司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21.广东艾佩克科技有限公司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22.广东长兴谷物粮油有限公司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23.广州厚邦木业制造有限公司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宋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从化区（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"/>
        </w:rPr>
        <w:t>3家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4.广州东升有机种植有限公司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25.广州绿宝轩农业生态科技有限公司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26.广州壹号食品有限责任公司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宋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增城区（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"/>
        </w:rPr>
        <w:t>3家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7.广州金农夫名龟生态养殖有限公司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28.广州市华溢饮食服务有限公司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29.嘉宝食品集团有限公司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50EC3"/>
    <w:rsid w:val="4DE5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spacing w:line="572" w:lineRule="exact"/>
      <w:ind w:firstLine="420" w:firstLineChars="200"/>
      <w:jc w:val="center"/>
      <w:textAlignment w:val="baseline"/>
    </w:pPr>
    <w:rPr>
      <w:rFonts w:ascii="宋体" w:hAnsi="宋体" w:eastAsia="方正小标宋简体" w:cs="Times New Roman"/>
      <w:snapToGrid/>
      <w:kern w:val="0"/>
      <w:sz w:val="44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2023-12-05T08:23:00Z</dcterms:created>
  <dc:creator>谢曼莹1673944446715</dc:creator>
  <cp:lastModifiedBy>谢曼莹1673944446715</cp:lastModifiedBy>
  <dcterms:modified xsi:type="dcterms:W3CDTF">2023-12-05T08:24:00Z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