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Lines="0" w:afterLines="0" w:line="568" w:lineRule="exact"/>
      </w:pPr>
      <w:bookmarkStart w:id="12" w:name="_GoBack"/>
      <w:bookmarkEnd w:id="12"/>
    </w:p>
    <w:p>
      <w:pPr>
        <w:keepNext w:val="0"/>
        <w:keepLines w:val="0"/>
        <w:pageBreakBefore w:val="0"/>
        <w:kinsoku/>
        <w:wordWrap/>
        <w:overflowPunct/>
        <w:topLinePunct w:val="0"/>
        <w:autoSpaceDE/>
        <w:autoSpaceDN/>
        <w:bidi w:val="0"/>
        <w:adjustRightInd w:val="0"/>
        <w:snapToGrid w:val="0"/>
        <w:spacing w:beforeLines="0" w:afterLines="0" w:line="568" w:lineRule="exact"/>
        <w:ind w:firstLine="640" w:firstLineChars="200"/>
        <w:jc w:val="right"/>
        <w:textAlignment w:val="auto"/>
        <w:rPr>
          <w:rFonts w:hint="default" w:ascii="仿宋_GB2312" w:hAnsi="仿宋_GB2312" w:eastAsia="仿宋_GB2312" w:cs="仿宋_GB2312"/>
          <w:snapToGrid w:val="0"/>
          <w:color w:val="auto"/>
          <w:kern w:val="0"/>
          <w:sz w:val="32"/>
          <w:szCs w:val="32"/>
          <w:highlight w:val="none"/>
          <w:lang w:val="en-US" w:eastAsia="zh-CN" w:bidi="ar"/>
        </w:rPr>
      </w:pPr>
      <w:r>
        <w:rPr>
          <w:rFonts w:hint="eastAsia" w:ascii="仿宋_GB2312" w:hAnsi="仿宋_GB2312" w:eastAsia="仿宋_GB2312" w:cs="仿宋_GB2312"/>
          <w:snapToGrid w:val="0"/>
          <w:color w:val="auto"/>
          <w:kern w:val="0"/>
          <w:sz w:val="32"/>
          <w:szCs w:val="32"/>
          <w:highlight w:val="none"/>
          <w:lang w:val="en-US" w:eastAsia="zh-CN" w:bidi="ar"/>
        </w:rPr>
        <w:t>粤农农</w:t>
      </w:r>
      <w:r>
        <w:rPr>
          <w:rFonts w:hint="eastAsia" w:ascii="仿宋_GB2312" w:hAnsi="仿宋_GB2312" w:cs="仿宋_GB2312"/>
          <w:snapToGrid w:val="0"/>
          <w:color w:val="auto"/>
          <w:kern w:val="0"/>
          <w:sz w:val="32"/>
          <w:szCs w:val="32"/>
          <w:highlight w:val="none"/>
          <w:lang w:val="en-US" w:eastAsia="zh-CN" w:bidi="ar"/>
        </w:rPr>
        <w:t>计</w:t>
      </w:r>
      <w:r>
        <w:rPr>
          <w:rFonts w:hint="eastAsia" w:ascii="仿宋_GB2312" w:hAnsi="仿宋_GB2312" w:eastAsia="仿宋_GB2312" w:cs="仿宋_GB2312"/>
          <w:snapToGrid w:val="0"/>
          <w:color w:val="auto"/>
          <w:kern w:val="0"/>
          <w:sz w:val="32"/>
          <w:szCs w:val="32"/>
          <w:highlight w:val="none"/>
          <w:lang w:val="en-US" w:eastAsia="zh-CN" w:bidi="ar"/>
        </w:rPr>
        <w:t>〔2024〕</w:t>
      </w:r>
      <w:r>
        <w:rPr>
          <w:rFonts w:hint="eastAsia" w:ascii="仿宋_GB2312" w:hAnsi="仿宋_GB2312" w:cs="仿宋_GB2312"/>
          <w:snapToGrid w:val="0"/>
          <w:color w:val="auto"/>
          <w:kern w:val="0"/>
          <w:sz w:val="32"/>
          <w:szCs w:val="32"/>
          <w:highlight w:val="none"/>
          <w:lang w:val="en-US" w:eastAsia="zh-CN" w:bidi="ar"/>
        </w:rPr>
        <w:t>129</w:t>
      </w:r>
      <w:r>
        <w:rPr>
          <w:rFonts w:hint="eastAsia" w:ascii="仿宋_GB2312" w:hAnsi="仿宋_GB2312" w:eastAsia="仿宋_GB2312" w:cs="仿宋_GB2312"/>
          <w:snapToGrid w:val="0"/>
          <w:color w:val="auto"/>
          <w:kern w:val="0"/>
          <w:sz w:val="32"/>
          <w:szCs w:val="32"/>
          <w:highlight w:val="none"/>
          <w:lang w:val="en-US" w:eastAsia="zh-CN" w:bidi="ar"/>
        </w:rPr>
        <w:t>号</w:t>
      </w:r>
    </w:p>
    <w:p>
      <w:pPr>
        <w:keepNext w:val="0"/>
        <w:keepLines w:val="0"/>
        <w:pageBreakBefore w:val="0"/>
        <w:widowControl w:val="0"/>
        <w:kinsoku/>
        <w:wordWrap/>
        <w:overflowPunct/>
        <w:topLinePunct w:val="0"/>
        <w:autoSpaceDE/>
        <w:autoSpaceDN/>
        <w:bidi w:val="0"/>
        <w:adjustRightInd w:val="0"/>
        <w:snapToGrid w:val="0"/>
        <w:spacing w:beforeLines="0" w:afterLines="0" w:line="568" w:lineRule="exact"/>
        <w:ind w:right="0" w:firstLine="0" w:firstLineChars="0"/>
        <w:jc w:val="center"/>
        <w:textAlignment w:val="auto"/>
        <w:rPr>
          <w:rFonts w:hint="eastAsia" w:ascii="方正小标宋简体" w:hAnsi="方正小标宋简体" w:eastAsia="方正小标宋简体" w:cs="方正小标宋简体"/>
          <w:color w:val="auto"/>
          <w:kern w:val="0"/>
          <w:sz w:val="44"/>
          <w:szCs w:val="44"/>
          <w:highlight w:val="none"/>
        </w:rPr>
      </w:pPr>
    </w:p>
    <w:p>
      <w:pPr>
        <w:keepNext w:val="0"/>
        <w:keepLines w:val="0"/>
        <w:pageBreakBefore w:val="0"/>
        <w:widowControl w:val="0"/>
        <w:kinsoku/>
        <w:wordWrap/>
        <w:overflowPunct/>
        <w:topLinePunct w:val="0"/>
        <w:autoSpaceDE/>
        <w:autoSpaceDN/>
        <w:bidi w:val="0"/>
        <w:adjustRightInd w:val="0"/>
        <w:snapToGrid w:val="0"/>
        <w:spacing w:beforeLines="0" w:afterLines="0" w:line="568" w:lineRule="exact"/>
        <w:ind w:right="0" w:firstLine="0" w:firstLineChars="0"/>
        <w:jc w:val="center"/>
        <w:textAlignment w:val="auto"/>
        <w:rPr>
          <w:rFonts w:hint="eastAsia" w:ascii="方正小标宋简体" w:hAnsi="方正小标宋简体" w:eastAsia="方正小标宋简体" w:cs="方正小标宋简体"/>
          <w:color w:val="auto"/>
          <w:kern w:val="0"/>
          <w:sz w:val="44"/>
          <w:szCs w:val="44"/>
          <w:highlight w:val="none"/>
        </w:rPr>
      </w:pPr>
      <w:r>
        <w:rPr>
          <w:rFonts w:hint="eastAsia" w:ascii="仿宋_GB2312"/>
          <w:color w:val="auto"/>
          <w:szCs w:val="32"/>
        </w:rPr>
        <mc:AlternateContent>
          <mc:Choice Requires="wps">
            <w:drawing>
              <wp:anchor distT="0" distB="0" distL="114300" distR="114300" simplePos="0" relativeHeight="251659264" behindDoc="0" locked="0" layoutInCell="1" allowOverlap="1">
                <wp:simplePos x="0" y="0"/>
                <wp:positionH relativeFrom="column">
                  <wp:posOffset>885190</wp:posOffset>
                </wp:positionH>
                <wp:positionV relativeFrom="paragraph">
                  <wp:posOffset>9705340</wp:posOffset>
                </wp:positionV>
                <wp:extent cx="5800725" cy="0"/>
                <wp:effectExtent l="0" t="28575" r="9525" b="28575"/>
                <wp:wrapNone/>
                <wp:docPr id="1" name="直接连接符 1"/>
                <wp:cNvGraphicFramePr/>
                <a:graphic xmlns:a="http://schemas.openxmlformats.org/drawingml/2006/main">
                  <a:graphicData uri="http://schemas.microsoft.com/office/word/2010/wordprocessingShape">
                    <wps:wsp>
                      <wps:cNvCnPr/>
                      <wps:spPr>
                        <a:xfrm>
                          <a:off x="0" y="0"/>
                          <a:ext cx="5800725" cy="0"/>
                        </a:xfrm>
                        <a:prstGeom prst="line">
                          <a:avLst/>
                        </a:prstGeom>
                        <a:ln w="57150" cap="flat" cmpd="thinThick">
                          <a:solidFill>
                            <a:srgbClr val="FF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69.7pt;margin-top:764.2pt;height:0pt;width:456.75pt;z-index:251659264;mso-width-relative:page;mso-height-relative:page;" filled="f" stroked="t" coordsize="21600,21600" o:gfxdata="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nDgS4tcAAAAOAQAA&#10;DwAAAAAAAAABACAAAAAiAAAAZHJzL2Rvd25yZXYueG1sUEsBAhQAFAAAAAgAh07iQLjxq5nhAQAA&#10;nQMAAA4AAAAAAAAAAQAgAAAAJgEAAGRycy9lMm9Eb2MueG1sUEsFBgAAAAAGAAYAWQEAAHkFAAAA&#10;AA==&#10;">
                <v:fill on="f" focussize="0,0"/>
                <v:stroke weight="4.5pt" color="#FF0000" linestyle="thinThick" joinstyle="round"/>
                <v:imagedata o:title=""/>
                <o:lock v:ext="edit" aspectratio="f"/>
              </v:line>
            </w:pict>
          </mc:Fallback>
        </mc:AlternateContent>
      </w:r>
    </w:p>
    <w:p>
      <w:pPr>
        <w:keepNext w:val="0"/>
        <w:keepLines w:val="0"/>
        <w:pageBreakBefore w:val="0"/>
        <w:widowControl w:val="0"/>
        <w:kinsoku/>
        <w:wordWrap/>
        <w:overflowPunct/>
        <w:topLinePunct w:val="0"/>
        <w:autoSpaceDE/>
        <w:autoSpaceDN/>
        <w:bidi w:val="0"/>
        <w:adjustRightInd w:val="0"/>
        <w:snapToGrid w:val="0"/>
        <w:spacing w:beforeLines="0" w:afterLines="0" w:line="568" w:lineRule="exact"/>
        <w:ind w:right="0" w:firstLine="0" w:firstLineChars="0"/>
        <w:jc w:val="center"/>
        <w:textAlignment w:val="auto"/>
        <w:rPr>
          <w:rFonts w:hint="eastAsia" w:ascii="方正小标宋简体" w:hAnsi="方正小标宋简体" w:eastAsia="方正小标宋简体" w:cs="方正小标宋简体"/>
          <w:color w:val="auto"/>
          <w:kern w:val="0"/>
          <w:sz w:val="44"/>
          <w:szCs w:val="44"/>
          <w:highlight w:val="none"/>
        </w:rPr>
      </w:pPr>
      <w:r>
        <w:rPr>
          <w:rFonts w:hint="eastAsia" w:ascii="方正小标宋简体" w:hAnsi="方正小标宋简体" w:eastAsia="方正小标宋简体" w:cs="方正小标宋简体"/>
          <w:color w:val="auto"/>
          <w:kern w:val="0"/>
          <w:sz w:val="44"/>
          <w:szCs w:val="44"/>
          <w:highlight w:val="none"/>
        </w:rPr>
        <w:t>关于开展</w:t>
      </w:r>
      <w:r>
        <w:rPr>
          <w:rFonts w:hint="eastAsia" w:ascii="方正小标宋简体" w:hAnsi="方正小标宋简体" w:eastAsia="方正小标宋简体" w:cs="方正小标宋简体"/>
          <w:color w:val="auto"/>
          <w:kern w:val="0"/>
          <w:sz w:val="44"/>
          <w:szCs w:val="44"/>
          <w:highlight w:val="none"/>
          <w:lang w:val="en-US" w:eastAsia="zh-CN"/>
        </w:rPr>
        <w:t>202</w:t>
      </w:r>
      <w:r>
        <w:rPr>
          <w:rFonts w:hint="default" w:ascii="方正小标宋简体" w:hAnsi="方正小标宋简体" w:eastAsia="方正小标宋简体" w:cs="方正小标宋简体"/>
          <w:color w:val="auto"/>
          <w:kern w:val="0"/>
          <w:sz w:val="44"/>
          <w:szCs w:val="44"/>
          <w:highlight w:val="none"/>
          <w:lang w:val="en-US" w:eastAsia="zh-CN"/>
        </w:rPr>
        <w:t>5</w:t>
      </w:r>
      <w:r>
        <w:rPr>
          <w:rFonts w:hint="eastAsia" w:ascii="方正小标宋简体" w:hAnsi="方正小标宋简体" w:eastAsia="方正小标宋简体" w:cs="方正小标宋简体"/>
          <w:color w:val="auto"/>
          <w:kern w:val="0"/>
          <w:sz w:val="44"/>
          <w:szCs w:val="44"/>
          <w:highlight w:val="none"/>
        </w:rPr>
        <w:t>年农业建设项目</w:t>
      </w:r>
    </w:p>
    <w:p>
      <w:pPr>
        <w:keepNext w:val="0"/>
        <w:keepLines w:val="0"/>
        <w:pageBreakBefore w:val="0"/>
        <w:widowControl w:val="0"/>
        <w:kinsoku/>
        <w:wordWrap/>
        <w:overflowPunct/>
        <w:topLinePunct w:val="0"/>
        <w:autoSpaceDE/>
        <w:autoSpaceDN/>
        <w:bidi w:val="0"/>
        <w:adjustRightInd w:val="0"/>
        <w:snapToGrid w:val="0"/>
        <w:spacing w:beforeLines="0" w:afterLines="0" w:line="568" w:lineRule="exact"/>
        <w:ind w:right="0" w:firstLine="0" w:firstLineChars="0"/>
        <w:jc w:val="center"/>
        <w:textAlignment w:val="auto"/>
        <w:rPr>
          <w:rFonts w:hint="eastAsia" w:ascii="方正小标宋简体" w:hAnsi="方正小标宋简体" w:eastAsia="方正小标宋简体" w:cs="方正小标宋简体"/>
          <w:color w:val="auto"/>
          <w:kern w:val="0"/>
          <w:sz w:val="44"/>
          <w:szCs w:val="44"/>
          <w:highlight w:val="none"/>
        </w:rPr>
      </w:pPr>
      <w:r>
        <w:rPr>
          <w:rFonts w:hint="eastAsia" w:ascii="方正小标宋简体" w:hAnsi="方正小标宋简体" w:eastAsia="方正小标宋简体" w:cs="方正小标宋简体"/>
          <w:color w:val="auto"/>
          <w:kern w:val="0"/>
          <w:sz w:val="44"/>
          <w:szCs w:val="44"/>
          <w:highlight w:val="none"/>
        </w:rPr>
        <w:t>储备</w:t>
      </w:r>
      <w:r>
        <w:rPr>
          <w:rFonts w:hint="eastAsia" w:ascii="方正小标宋简体" w:hAnsi="方正小标宋简体" w:eastAsia="方正小标宋简体" w:cs="方正小标宋简体"/>
          <w:color w:val="auto"/>
          <w:kern w:val="0"/>
          <w:sz w:val="44"/>
          <w:szCs w:val="44"/>
          <w:highlight w:val="none"/>
          <w:lang w:val="en-US" w:eastAsia="zh-CN"/>
        </w:rPr>
        <w:t>入库</w:t>
      </w:r>
      <w:r>
        <w:rPr>
          <w:rFonts w:hint="eastAsia" w:ascii="方正小标宋简体" w:hAnsi="方正小标宋简体" w:eastAsia="方正小标宋简体" w:cs="方正小标宋简体"/>
          <w:color w:val="auto"/>
          <w:kern w:val="0"/>
          <w:sz w:val="44"/>
          <w:szCs w:val="44"/>
          <w:highlight w:val="none"/>
        </w:rPr>
        <w:t>工作的通知</w:t>
      </w:r>
    </w:p>
    <w:p>
      <w:pPr>
        <w:keepNext w:val="0"/>
        <w:keepLines w:val="0"/>
        <w:pageBreakBefore w:val="0"/>
        <w:widowControl w:val="0"/>
        <w:kinsoku/>
        <w:wordWrap/>
        <w:overflowPunct/>
        <w:topLinePunct w:val="0"/>
        <w:autoSpaceDE/>
        <w:autoSpaceDN/>
        <w:bidi w:val="0"/>
        <w:adjustRightInd w:val="0"/>
        <w:snapToGrid w:val="0"/>
        <w:spacing w:beforeLines="0" w:afterLines="0" w:line="568" w:lineRule="exact"/>
        <w:ind w:left="0" w:leftChars="0" w:right="0" w:firstLine="640" w:firstLineChars="200"/>
        <w:jc w:val="both"/>
        <w:textAlignment w:val="auto"/>
        <w:rPr>
          <w:rFonts w:hint="eastAsia" w:ascii="仿宋_GB2312" w:hAnsi="仿宋_GB2312" w:eastAsia="仿宋_GB2312" w:cs="仿宋_GB2312"/>
          <w:color w:val="auto"/>
          <w:kern w:val="0"/>
          <w:highlight w:val="none"/>
        </w:rPr>
      </w:pPr>
    </w:p>
    <w:p>
      <w:pPr>
        <w:keepNext w:val="0"/>
        <w:keepLines w:val="0"/>
        <w:pageBreakBefore w:val="0"/>
        <w:widowControl w:val="0"/>
        <w:kinsoku/>
        <w:wordWrap/>
        <w:overflowPunct/>
        <w:topLinePunct w:val="0"/>
        <w:autoSpaceDE/>
        <w:autoSpaceDN/>
        <w:bidi w:val="0"/>
        <w:adjustRightInd w:val="0"/>
        <w:snapToGrid w:val="0"/>
        <w:spacing w:beforeLines="0" w:afterLines="0" w:line="568" w:lineRule="exact"/>
        <w:ind w:right="0" w:firstLine="0" w:firstLineChars="0"/>
        <w:jc w:val="both"/>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各地级以上市农业农村局，</w:t>
      </w:r>
      <w:r>
        <w:rPr>
          <w:rFonts w:hint="eastAsia" w:ascii="仿宋_GB2312" w:hAnsi="仿宋_GB2312" w:cs="仿宋_GB2312"/>
          <w:color w:val="auto"/>
          <w:kern w:val="0"/>
          <w:sz w:val="32"/>
          <w:szCs w:val="32"/>
          <w:highlight w:val="none"/>
          <w:lang w:eastAsia="zh-CN"/>
        </w:rPr>
        <w:t>珠海市海洋发展局，湛江市海洋与渔业局，</w:t>
      </w:r>
      <w:r>
        <w:rPr>
          <w:rFonts w:hint="eastAsia" w:ascii="仿宋_GB2312" w:hAnsi="仿宋_GB2312" w:eastAsia="仿宋_GB2312" w:cs="仿宋_GB2312"/>
          <w:color w:val="auto"/>
          <w:kern w:val="0"/>
          <w:sz w:val="32"/>
          <w:szCs w:val="32"/>
          <w:highlight w:val="none"/>
        </w:rPr>
        <w:t>省有关</w:t>
      </w:r>
      <w:r>
        <w:rPr>
          <w:rFonts w:hint="eastAsia" w:ascii="仿宋_GB2312" w:hAnsi="仿宋_GB2312" w:eastAsia="仿宋_GB2312" w:cs="仿宋_GB2312"/>
          <w:color w:val="auto"/>
          <w:kern w:val="0"/>
          <w:sz w:val="32"/>
          <w:szCs w:val="32"/>
          <w:highlight w:val="none"/>
          <w:lang w:val="en-US" w:eastAsia="zh-CN"/>
        </w:rPr>
        <w:t>单位</w:t>
      </w:r>
      <w:r>
        <w:rPr>
          <w:rFonts w:hint="eastAsia" w:ascii="仿宋_GB2312" w:hAnsi="仿宋_GB2312" w:eastAsia="仿宋_GB2312" w:cs="仿宋_GB2312"/>
          <w:color w:val="auto"/>
          <w:kern w:val="0"/>
          <w:sz w:val="32"/>
          <w:szCs w:val="32"/>
          <w:highlight w:val="none"/>
        </w:rPr>
        <w:t>：</w:t>
      </w:r>
    </w:p>
    <w:p>
      <w:pPr>
        <w:adjustRightInd w:val="0"/>
        <w:snapToGrid w:val="0"/>
        <w:spacing w:beforeLines="0" w:afterLines="0" w:line="568" w:lineRule="exact"/>
        <w:ind w:firstLine="640" w:firstLineChars="200"/>
        <w:rPr>
          <w:rFonts w:hint="default" w:ascii="仿宋_GB2312" w:hAnsi="仿宋_GB2312" w:cs="仿宋_GB2312"/>
          <w:color w:val="auto"/>
          <w:kern w:val="0"/>
          <w:sz w:val="32"/>
          <w:szCs w:val="32"/>
          <w:highlight w:val="none"/>
          <w:lang w:val="en-US" w:eastAsia="zh-CN"/>
        </w:rPr>
      </w:pPr>
      <w:r>
        <w:rPr>
          <w:rFonts w:hint="eastAsia" w:ascii="仿宋_GB2312" w:hAnsi="仿宋_GB2312" w:cs="仿宋_GB2312"/>
          <w:color w:val="auto"/>
          <w:kern w:val="0"/>
          <w:sz w:val="32"/>
          <w:szCs w:val="32"/>
          <w:highlight w:val="none"/>
          <w:lang w:val="en-US" w:eastAsia="zh-CN"/>
        </w:rPr>
        <w:t>根据《“十四五”农业农村现代化重大工程建设总体规划》</w:t>
      </w:r>
      <w:r>
        <w:rPr>
          <w:rFonts w:hint="eastAsia" w:ascii="仿宋_GB2312" w:hAnsi="仿宋_GB2312" w:eastAsia="仿宋_GB2312" w:cs="仿宋_GB2312"/>
          <w:color w:val="auto"/>
          <w:kern w:val="0"/>
          <w:sz w:val="32"/>
          <w:szCs w:val="32"/>
          <w:highlight w:val="none"/>
        </w:rPr>
        <w:t>《国家发展改革委关于</w:t>
      </w:r>
      <w:r>
        <w:rPr>
          <w:rFonts w:hint="eastAsia" w:ascii="仿宋_GB2312" w:hAnsi="仿宋_GB2312" w:eastAsia="仿宋_GB2312" w:cs="仿宋_GB2312"/>
          <w:color w:val="auto"/>
          <w:kern w:val="0"/>
          <w:sz w:val="32"/>
          <w:szCs w:val="32"/>
          <w:highlight w:val="none"/>
          <w:lang w:val="en-US" w:eastAsia="zh-CN"/>
        </w:rPr>
        <w:t>规范</w:t>
      </w:r>
      <w:r>
        <w:rPr>
          <w:rFonts w:hint="eastAsia" w:ascii="仿宋_GB2312" w:hAnsi="仿宋_GB2312" w:eastAsia="仿宋_GB2312" w:cs="仿宋_GB2312"/>
          <w:color w:val="auto"/>
          <w:kern w:val="0"/>
          <w:sz w:val="32"/>
          <w:szCs w:val="32"/>
          <w:highlight w:val="none"/>
        </w:rPr>
        <w:t>中央预算内投资</w:t>
      </w:r>
      <w:r>
        <w:rPr>
          <w:rFonts w:hint="eastAsia" w:ascii="仿宋_GB2312" w:hAnsi="仿宋_GB2312" w:eastAsia="仿宋_GB2312" w:cs="仿宋_GB2312"/>
          <w:color w:val="auto"/>
          <w:kern w:val="0"/>
          <w:sz w:val="32"/>
          <w:szCs w:val="32"/>
          <w:highlight w:val="none"/>
          <w:lang w:val="en-US" w:eastAsia="zh-CN"/>
        </w:rPr>
        <w:t>资金安排方式及项目管理的</w:t>
      </w:r>
      <w:r>
        <w:rPr>
          <w:rFonts w:hint="eastAsia" w:ascii="仿宋_GB2312" w:hAnsi="仿宋_GB2312" w:eastAsia="仿宋_GB2312" w:cs="仿宋_GB2312"/>
          <w:color w:val="auto"/>
          <w:kern w:val="0"/>
          <w:sz w:val="32"/>
          <w:szCs w:val="32"/>
          <w:highlight w:val="none"/>
        </w:rPr>
        <w:t>通知》（发改</w:t>
      </w:r>
      <w:r>
        <w:rPr>
          <w:rFonts w:hint="eastAsia" w:ascii="仿宋_GB2312" w:hAnsi="仿宋_GB2312" w:eastAsia="仿宋_GB2312" w:cs="仿宋_GB2312"/>
          <w:color w:val="auto"/>
          <w:kern w:val="0"/>
          <w:sz w:val="32"/>
          <w:szCs w:val="32"/>
          <w:highlight w:val="none"/>
          <w:lang w:val="en-US" w:eastAsia="zh-CN"/>
        </w:rPr>
        <w:t>投资规</w:t>
      </w:r>
      <w:r>
        <w:rPr>
          <w:rFonts w:hint="eastAsia" w:ascii="仿宋_GB2312" w:hAnsi="仿宋_GB2312" w:eastAsia="仿宋_GB2312" w:cs="仿宋_GB2312"/>
          <w:color w:val="auto"/>
          <w:kern w:val="0"/>
          <w:sz w:val="32"/>
          <w:szCs w:val="32"/>
          <w:highlight w:val="none"/>
        </w:rPr>
        <w:t>〔20</w:t>
      </w:r>
      <w:r>
        <w:rPr>
          <w:rFonts w:hint="eastAsia" w:ascii="仿宋_GB2312" w:hAnsi="仿宋_GB2312" w:eastAsia="仿宋_GB2312" w:cs="仿宋_GB2312"/>
          <w:color w:val="auto"/>
          <w:kern w:val="0"/>
          <w:sz w:val="32"/>
          <w:szCs w:val="32"/>
          <w:highlight w:val="none"/>
          <w:lang w:val="en-US" w:eastAsia="zh-CN"/>
        </w:rPr>
        <w:t>20</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518</w:t>
      </w:r>
      <w:r>
        <w:rPr>
          <w:rFonts w:hint="eastAsia" w:ascii="仿宋_GB2312" w:hAnsi="仿宋_GB2312" w:eastAsia="仿宋_GB2312" w:cs="仿宋_GB2312"/>
          <w:color w:val="auto"/>
          <w:kern w:val="0"/>
          <w:sz w:val="32"/>
          <w:szCs w:val="32"/>
          <w:highlight w:val="none"/>
        </w:rPr>
        <w:t>号）</w:t>
      </w:r>
      <w:r>
        <w:rPr>
          <w:rFonts w:hint="eastAsia" w:ascii="仿宋_GB2312" w:hAnsi="仿宋_GB2312" w:cs="仿宋_GB2312"/>
          <w:color w:val="auto"/>
          <w:kern w:val="0"/>
          <w:sz w:val="32"/>
          <w:szCs w:val="32"/>
          <w:highlight w:val="none"/>
          <w:lang w:eastAsia="zh-CN"/>
        </w:rPr>
        <w:t>、</w:t>
      </w:r>
      <w:r>
        <w:rPr>
          <w:rFonts w:hint="eastAsia" w:ascii="仿宋_GB2312" w:hAnsi="仿宋_GB2312" w:cs="仿宋_GB2312"/>
          <w:color w:val="auto"/>
          <w:kern w:val="0"/>
          <w:sz w:val="32"/>
          <w:szCs w:val="32"/>
          <w:highlight w:val="none"/>
          <w:lang w:val="en-US" w:eastAsia="zh-CN"/>
        </w:rPr>
        <w:t>《农业农村部计划财务司关于做好2025年农业建设项目储备工作的通知》（农计财便函</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hAnsi="仿宋_GB2312" w:cs="仿宋_GB2312"/>
          <w:color w:val="auto"/>
          <w:kern w:val="0"/>
          <w:sz w:val="32"/>
          <w:szCs w:val="32"/>
          <w:highlight w:val="none"/>
          <w:lang w:val="en-US" w:eastAsia="zh-CN"/>
        </w:rPr>
        <w:t>202</w:t>
      </w:r>
      <w:r>
        <w:rPr>
          <w:rFonts w:hint="default" w:ascii="仿宋_GB2312" w:hAnsi="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hAnsi="仿宋_GB2312" w:cs="仿宋_GB2312"/>
          <w:color w:val="auto"/>
          <w:kern w:val="0"/>
          <w:sz w:val="32"/>
          <w:szCs w:val="32"/>
          <w:highlight w:val="none"/>
          <w:lang w:val="en-US" w:eastAsia="zh-CN"/>
        </w:rPr>
        <w:t>2</w:t>
      </w:r>
      <w:r>
        <w:rPr>
          <w:rFonts w:hint="default" w:ascii="仿宋_GB2312" w:hAnsi="仿宋_GB2312" w:cs="仿宋_GB2312"/>
          <w:color w:val="auto"/>
          <w:kern w:val="0"/>
          <w:sz w:val="32"/>
          <w:szCs w:val="32"/>
          <w:highlight w:val="none"/>
          <w:lang w:val="en-US" w:eastAsia="zh-CN"/>
        </w:rPr>
        <w:t>58</w:t>
      </w:r>
      <w:r>
        <w:rPr>
          <w:rFonts w:hint="eastAsia" w:ascii="仿宋_GB2312" w:hAnsi="仿宋_GB2312" w:cs="仿宋_GB2312"/>
          <w:color w:val="auto"/>
          <w:kern w:val="0"/>
          <w:sz w:val="32"/>
          <w:szCs w:val="32"/>
          <w:highlight w:val="none"/>
          <w:lang w:val="en-US" w:eastAsia="zh-CN"/>
        </w:rPr>
        <w:t>号），为指导各地各单位做好2025年中央预算内投资、“两重”建设农业领域项目，按照“储备一批、成熟一批，安排一批”的原则，现就我省202</w:t>
      </w:r>
      <w:r>
        <w:rPr>
          <w:rFonts w:hint="default" w:ascii="仿宋_GB2312" w:hAnsi="仿宋_GB2312" w:cs="仿宋_GB2312"/>
          <w:color w:val="auto"/>
          <w:kern w:val="0"/>
          <w:sz w:val="32"/>
          <w:szCs w:val="32"/>
          <w:highlight w:val="none"/>
          <w:lang w:val="en-US" w:eastAsia="zh-CN"/>
        </w:rPr>
        <w:t>5</w:t>
      </w:r>
      <w:r>
        <w:rPr>
          <w:rFonts w:hint="eastAsia" w:ascii="仿宋_GB2312" w:hAnsi="仿宋_GB2312" w:cs="仿宋_GB2312"/>
          <w:color w:val="auto"/>
          <w:kern w:val="0"/>
          <w:sz w:val="32"/>
          <w:szCs w:val="32"/>
          <w:highlight w:val="none"/>
          <w:lang w:val="en-US" w:eastAsia="zh-CN"/>
        </w:rPr>
        <w:t>年农业建设项目</w:t>
      </w:r>
      <w:r>
        <w:rPr>
          <w:rFonts w:hint="eastAsia" w:ascii="仿宋_GB2312" w:hAnsi="仿宋_GB2312" w:eastAsia="仿宋_GB2312" w:cs="仿宋_GB2312"/>
          <w:color w:val="auto"/>
          <w:kern w:val="0"/>
          <w:sz w:val="32"/>
          <w:szCs w:val="32"/>
          <w:highlight w:val="none"/>
          <w:lang w:val="en-US" w:eastAsia="zh-CN"/>
        </w:rPr>
        <w:t>入库有关</w:t>
      </w:r>
      <w:r>
        <w:rPr>
          <w:rFonts w:hint="eastAsia" w:ascii="仿宋_GB2312" w:hAnsi="仿宋_GB2312" w:eastAsia="仿宋_GB2312" w:cs="仿宋_GB2312"/>
          <w:color w:val="auto"/>
          <w:kern w:val="0"/>
          <w:sz w:val="32"/>
          <w:szCs w:val="32"/>
          <w:highlight w:val="none"/>
        </w:rPr>
        <w:t>工作通知如下</w:t>
      </w:r>
      <w:r>
        <w:rPr>
          <w:rFonts w:hint="eastAsia" w:ascii="仿宋_GB2312" w:hAnsi="仿宋_GB2312" w:cs="仿宋_GB2312"/>
          <w:color w:val="auto"/>
          <w:kern w:val="0"/>
          <w:sz w:val="32"/>
          <w:szCs w:val="32"/>
          <w:highlight w:val="none"/>
          <w:lang w:eastAsia="zh-CN"/>
        </w:rPr>
        <w:t>。</w:t>
      </w:r>
      <w:r>
        <w:rPr>
          <w:rFonts w:hint="eastAsia" w:ascii="仿宋_GB2312" w:hAnsi="仿宋_GB2312" w:cs="仿宋_GB2312"/>
          <w:color w:val="auto"/>
          <w:kern w:val="0"/>
          <w:sz w:val="32"/>
          <w:szCs w:val="32"/>
          <w:highlight w:val="none"/>
          <w:lang w:val="en-US" w:eastAsia="zh-CN"/>
        </w:rPr>
        <w:t xml:space="preserve">    </w:t>
      </w:r>
    </w:p>
    <w:p>
      <w:pPr>
        <w:adjustRightInd w:val="0"/>
        <w:snapToGrid w:val="0"/>
        <w:spacing w:beforeLines="0" w:afterLines="0" w:line="568" w:lineRule="exact"/>
        <w:ind w:firstLine="640" w:firstLineChars="200"/>
        <w:outlineLvl w:val="9"/>
        <w:rPr>
          <w:rFonts w:hint="eastAsia" w:ascii="黑体" w:hAnsi="黑体" w:eastAsia="黑体" w:cs="黑体"/>
          <w:color w:val="auto"/>
          <w:kern w:val="0"/>
          <w:sz w:val="32"/>
          <w:szCs w:val="32"/>
          <w:highlight w:val="none"/>
          <w:lang w:val="en-US" w:eastAsia="zh-CN" w:bidi="ar-SA"/>
        </w:rPr>
      </w:pPr>
      <w:r>
        <w:rPr>
          <w:rFonts w:hint="eastAsia" w:ascii="黑体" w:hAnsi="黑体" w:eastAsia="黑体" w:cs="黑体"/>
          <w:color w:val="auto"/>
          <w:kern w:val="0"/>
          <w:sz w:val="32"/>
          <w:szCs w:val="32"/>
          <w:highlight w:val="none"/>
          <w:lang w:val="en-US" w:eastAsia="zh-CN" w:bidi="ar-SA"/>
        </w:rPr>
        <w:t>一、储备范围</w:t>
      </w:r>
    </w:p>
    <w:p>
      <w:pPr>
        <w:adjustRightInd w:val="0"/>
        <w:snapToGrid w:val="0"/>
        <w:spacing w:beforeLines="0" w:afterLines="0" w:line="568" w:lineRule="exact"/>
        <w:ind w:firstLine="640" w:firstLineChars="200"/>
        <w:outlineLvl w:val="9"/>
        <w:rPr>
          <w:rFonts w:hint="default" w:ascii="仿宋_GB2312" w:hAnsi="仿宋_GB2312" w:eastAsia="仿宋_GB2312" w:cs="仿宋_GB2312"/>
          <w:color w:val="auto"/>
          <w:kern w:val="0"/>
          <w:sz w:val="32"/>
          <w:szCs w:val="32"/>
          <w:highlight w:val="none"/>
          <w:lang w:val="en-US" w:eastAsia="zh-CN" w:bidi="ar-SA"/>
        </w:rPr>
      </w:pPr>
      <w:r>
        <mc:AlternateContent>
          <mc:Choice Requires="wps">
            <w:drawing>
              <wp:anchor distT="0" distB="0" distL="114300" distR="114300" simplePos="0" relativeHeight="251660288" behindDoc="0" locked="0" layoutInCell="1" allowOverlap="1">
                <wp:simplePos x="0" y="0"/>
                <wp:positionH relativeFrom="column">
                  <wp:posOffset>-96520</wp:posOffset>
                </wp:positionH>
                <wp:positionV relativeFrom="paragraph">
                  <wp:posOffset>1377315</wp:posOffset>
                </wp:positionV>
                <wp:extent cx="5800725" cy="0"/>
                <wp:effectExtent l="0" t="28575" r="9525" b="28575"/>
                <wp:wrapNone/>
                <wp:docPr id="2" name="Line 7"/>
                <wp:cNvGraphicFramePr/>
                <a:graphic xmlns:a="http://schemas.openxmlformats.org/drawingml/2006/main">
                  <a:graphicData uri="http://schemas.microsoft.com/office/word/2010/wordprocessingShape">
                    <wps:wsp>
                      <wps:cNvCnPr/>
                      <wps:spPr>
                        <a:xfrm>
                          <a:off x="0" y="0"/>
                          <a:ext cx="5800725" cy="0"/>
                        </a:xfrm>
                        <a:prstGeom prst="line">
                          <a:avLst/>
                        </a:prstGeom>
                        <a:ln w="57150" cap="flat" cmpd="thinThick">
                          <a:solidFill>
                            <a:srgbClr val="FF0000"/>
                          </a:solidFill>
                          <a:prstDash val="solid"/>
                          <a:headEnd type="none" w="med" len="med"/>
                          <a:tailEnd type="none" w="med" len="med"/>
                        </a:ln>
                      </wps:spPr>
                      <wps:bodyPr upright="1"/>
                    </wps:wsp>
                  </a:graphicData>
                </a:graphic>
              </wp:anchor>
            </w:drawing>
          </mc:Choice>
          <mc:Fallback>
            <w:pict>
              <v:line id="Line 7" o:spid="_x0000_s1026" o:spt="20" style="position:absolute;left:0pt;margin-left:-7.6pt;margin-top:108.45pt;height:0pt;width:456.75pt;z-index:251660288;mso-width-relative:page;mso-height-relative:page;" filled="f" stroked="t" coordsize="21600,21600" o:gfxdata="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FkIYGNgAAAALAQAADwAAAAAAAAABACAAAAAiAAAAZHJzL2Rv&#10;d25yZXYueG1sUEsBAhQAFAAAAAgAh07iQN2fyjLIAQAAkgMAAA4AAAAAAAAAAQAgAAAAJwEAAGRy&#10;cy9lMm9Eb2MueG1sUEsFBgAAAAAGAAYAWQEAAGEFAAAAAA==&#10;">
                <v:fill on="f" focussize="0,0"/>
                <v:stroke weight="4.5pt" color="#FF0000" linestyle="thinThick" joinstyle="round"/>
                <v:imagedata o:title=""/>
                <o:lock v:ext="edit" aspectratio="f"/>
              </v:line>
            </w:pict>
          </mc:Fallback>
        </mc:AlternateContent>
      </w:r>
      <w:r>
        <w:rPr>
          <w:rFonts w:hint="eastAsia" w:ascii="仿宋_GB2312" w:hAnsi="仿宋_GB2312" w:eastAsia="仿宋_GB2312" w:cs="仿宋_GB2312"/>
          <w:color w:val="auto"/>
          <w:kern w:val="0"/>
          <w:sz w:val="32"/>
          <w:szCs w:val="32"/>
          <w:highlight w:val="none"/>
          <w:lang w:val="en-US" w:eastAsia="zh-CN" w:bidi="ar-SA"/>
        </w:rPr>
        <w:t>纳入我省202</w:t>
      </w:r>
      <w:r>
        <w:rPr>
          <w:rFonts w:hint="default" w:ascii="仿宋_GB2312" w:hAnsi="仿宋_GB2312" w:cs="仿宋_GB2312"/>
          <w:color w:val="auto"/>
          <w:kern w:val="0"/>
          <w:sz w:val="32"/>
          <w:szCs w:val="32"/>
          <w:highlight w:val="none"/>
          <w:lang w:val="en-US" w:eastAsia="zh-CN" w:bidi="ar-SA"/>
        </w:rPr>
        <w:t>5</w:t>
      </w:r>
      <w:r>
        <w:rPr>
          <w:rFonts w:hint="eastAsia" w:ascii="仿宋_GB2312" w:hAnsi="仿宋_GB2312" w:eastAsia="仿宋_GB2312" w:cs="仿宋_GB2312"/>
          <w:color w:val="auto"/>
          <w:kern w:val="0"/>
          <w:sz w:val="32"/>
          <w:szCs w:val="32"/>
          <w:highlight w:val="none"/>
          <w:lang w:val="en-US" w:eastAsia="zh-CN" w:bidi="ar-SA"/>
        </w:rPr>
        <w:t>年农业建设项目储备范围的包括：高标准农田建设项目、现代种业提升工程项目、动植物保护能力提升工程项目、畜禽粪污资源化利用整县推进项目</w:t>
      </w:r>
      <w:r>
        <w:rPr>
          <w:rFonts w:hint="eastAsia" w:ascii="仿宋_GB2312" w:hAnsi="仿宋_GB2312" w:cs="仿宋_GB2312"/>
          <w:color w:val="auto"/>
          <w:kern w:val="0"/>
          <w:sz w:val="32"/>
          <w:szCs w:val="32"/>
          <w:highlight w:val="none"/>
          <w:lang w:val="en-US" w:eastAsia="zh-CN" w:bidi="ar-SA"/>
        </w:rPr>
        <w:t>、</w:t>
      </w:r>
      <w:r>
        <w:rPr>
          <w:rFonts w:hint="eastAsia" w:ascii="仿宋_GB2312" w:hAnsi="仿宋_GB2312" w:eastAsia="仿宋_GB2312" w:cs="仿宋_GB2312"/>
          <w:color w:val="auto"/>
          <w:kern w:val="0"/>
          <w:sz w:val="32"/>
          <w:szCs w:val="32"/>
          <w:highlight w:val="none"/>
          <w:lang w:val="en-US" w:eastAsia="zh-CN" w:bidi="ar-SA"/>
        </w:rPr>
        <w:t>农业科技创新能力条件建设项目、数字农业建设项目等6大类项目。项目具体内容详见附件1（仅限于储备条件中明确有广东的项目）。</w:t>
      </w:r>
      <w:r>
        <w:rPr>
          <w:rFonts w:hint="eastAsia" w:ascii="仿宋_GB2312" w:hAnsi="仿宋_GB2312" w:cs="仿宋_GB2312"/>
          <w:color w:val="auto"/>
          <w:kern w:val="0"/>
          <w:sz w:val="32"/>
          <w:szCs w:val="32"/>
          <w:highlight w:val="none"/>
          <w:lang w:val="en-US" w:eastAsia="zh-CN" w:bidi="ar-SA"/>
        </w:rPr>
        <w:t>各地要结合农业发展需求，既立足当前、又着眼长远，注重谋划储备一批标志性重大项目。其中，“两重”建设项目原则上单体投资规模应在1亿元以上。</w:t>
      </w:r>
    </w:p>
    <w:p>
      <w:pPr>
        <w:keepNext w:val="0"/>
        <w:keepLines w:val="0"/>
        <w:pageBreakBefore w:val="0"/>
        <w:widowControl w:val="0"/>
        <w:kinsoku/>
        <w:wordWrap/>
        <w:overflowPunct/>
        <w:topLinePunct w:val="0"/>
        <w:autoSpaceDE/>
        <w:autoSpaceDN/>
        <w:bidi w:val="0"/>
        <w:adjustRightInd w:val="0"/>
        <w:snapToGrid w:val="0"/>
        <w:spacing w:before="0" w:after="0" w:line="590" w:lineRule="exact"/>
        <w:ind w:left="0" w:leftChars="0" w:right="0" w:firstLine="640" w:firstLineChars="200"/>
        <w:jc w:val="both"/>
        <w:outlineLvl w:val="9"/>
        <w:rPr>
          <w:rFonts w:hint="eastAsia" w:ascii="黑体" w:hAnsi="黑体" w:eastAsia="黑体" w:cs="黑体"/>
          <w:color w:val="auto"/>
          <w:kern w:val="0"/>
          <w:highlight w:val="none"/>
          <w:lang w:val="en-US" w:eastAsia="zh-CN"/>
        </w:rPr>
      </w:pPr>
      <w:r>
        <w:rPr>
          <w:rFonts w:hint="eastAsia" w:ascii="黑体" w:hAnsi="黑体" w:eastAsia="黑体" w:cs="黑体"/>
          <w:color w:val="auto"/>
          <w:kern w:val="0"/>
          <w:highlight w:val="none"/>
          <w:lang w:val="en-US" w:eastAsia="zh-CN"/>
        </w:rPr>
        <w:t>二、申报要求</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rPr>
          <w:rFonts w:hint="eastAsia" w:ascii="仿宋_GB2312" w:hAnsi="仿宋_GB2312" w:eastAsia="仿宋_GB2312" w:cs="仿宋_GB2312"/>
          <w:color w:val="auto"/>
          <w:kern w:val="0"/>
          <w:highlight w:val="none"/>
          <w:lang w:val="en-US" w:eastAsia="zh-CN"/>
        </w:rPr>
      </w:pPr>
      <w:r>
        <w:rPr>
          <w:rFonts w:hint="eastAsia" w:ascii="楷体_GB2312" w:hAnsi="楷体_GB2312" w:eastAsia="楷体_GB2312" w:cs="楷体_GB2312"/>
          <w:color w:val="auto"/>
          <w:kern w:val="0"/>
          <w:highlight w:val="none"/>
          <w:lang w:val="en-US" w:eastAsia="zh-CN"/>
        </w:rPr>
        <w:t>（一）资金投入比例。</w:t>
      </w:r>
      <w:r>
        <w:rPr>
          <w:rFonts w:hint="eastAsia" w:ascii="仿宋_GB2312" w:hAnsi="仿宋_GB2312" w:eastAsia="仿宋_GB2312" w:cs="仿宋_GB2312"/>
          <w:color w:val="auto"/>
          <w:kern w:val="0"/>
          <w:highlight w:val="none"/>
          <w:lang w:val="en-US" w:eastAsia="zh-CN"/>
        </w:rPr>
        <w:t>各项目的建设内容、中央投资比例等按照《</w:t>
      </w:r>
      <w:r>
        <w:rPr>
          <w:rFonts w:hint="eastAsia" w:ascii="仿宋_GB2312" w:hAnsi="仿宋_GB2312" w:cs="仿宋_GB2312"/>
          <w:color w:val="auto"/>
          <w:kern w:val="0"/>
          <w:highlight w:val="none"/>
          <w:lang w:val="en-US" w:eastAsia="zh-CN"/>
        </w:rPr>
        <w:t>农业</w:t>
      </w:r>
      <w:r>
        <w:rPr>
          <w:rFonts w:hint="eastAsia" w:ascii="仿宋_GB2312" w:hAnsi="仿宋_GB2312" w:eastAsia="仿宋_GB2312" w:cs="仿宋_GB2312"/>
          <w:color w:val="auto"/>
          <w:kern w:val="0"/>
          <w:highlight w:val="none"/>
          <w:lang w:val="en-US" w:eastAsia="zh-CN"/>
        </w:rPr>
        <w:t>中央预算内投资专项管理办法》</w:t>
      </w:r>
      <w:r>
        <w:rPr>
          <w:rFonts w:hint="eastAsia" w:ascii="仿宋_GB2312" w:hAnsi="仿宋_GB2312" w:eastAsia="仿宋_GB2312" w:cs="仿宋_GB2312"/>
          <w:color w:val="auto"/>
          <w:kern w:val="0"/>
          <w:sz w:val="32"/>
          <w:szCs w:val="32"/>
          <w:highlight w:val="none"/>
        </w:rPr>
        <w:t>（发改</w:t>
      </w:r>
      <w:r>
        <w:rPr>
          <w:rFonts w:hint="eastAsia" w:ascii="仿宋_GB2312" w:hAnsi="仿宋_GB2312" w:cs="仿宋_GB2312"/>
          <w:color w:val="auto"/>
          <w:kern w:val="0"/>
          <w:sz w:val="32"/>
          <w:szCs w:val="32"/>
          <w:highlight w:val="none"/>
          <w:lang w:val="en-US" w:eastAsia="zh-CN"/>
        </w:rPr>
        <w:t>农经</w:t>
      </w:r>
      <w:r>
        <w:rPr>
          <w:rFonts w:hint="eastAsia" w:ascii="仿宋_GB2312" w:hAnsi="仿宋_GB2312" w:eastAsia="仿宋_GB2312" w:cs="仿宋_GB2312"/>
          <w:color w:val="auto"/>
          <w:kern w:val="0"/>
          <w:sz w:val="32"/>
          <w:szCs w:val="32"/>
          <w:highlight w:val="none"/>
          <w:lang w:val="en-US" w:eastAsia="zh-CN"/>
        </w:rPr>
        <w:t>规</w:t>
      </w:r>
      <w:r>
        <w:rPr>
          <w:rFonts w:hint="eastAsia" w:ascii="仿宋_GB2312" w:hAnsi="仿宋_GB2312" w:eastAsia="仿宋_GB2312" w:cs="仿宋_GB2312"/>
          <w:color w:val="auto"/>
          <w:kern w:val="0"/>
          <w:sz w:val="32"/>
          <w:szCs w:val="32"/>
          <w:highlight w:val="none"/>
        </w:rPr>
        <w:t>〔20</w:t>
      </w:r>
      <w:r>
        <w:rPr>
          <w:rFonts w:hint="eastAsia" w:ascii="仿宋_GB2312" w:hAnsi="仿宋_GB2312" w:eastAsia="仿宋_GB2312" w:cs="仿宋_GB2312"/>
          <w:color w:val="auto"/>
          <w:kern w:val="0"/>
          <w:sz w:val="32"/>
          <w:szCs w:val="32"/>
          <w:highlight w:val="none"/>
          <w:lang w:val="en-US" w:eastAsia="zh-CN"/>
        </w:rPr>
        <w:t>2</w:t>
      </w:r>
      <w:r>
        <w:rPr>
          <w:rFonts w:hint="eastAsia" w:ascii="仿宋_GB2312" w:hAnsi="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rPr>
        <w:t>〕</w:t>
      </w:r>
      <w:r>
        <w:rPr>
          <w:rFonts w:hint="eastAsia" w:ascii="仿宋_GB2312" w:hAnsi="仿宋_GB2312" w:cs="仿宋_GB2312"/>
          <w:color w:val="auto"/>
          <w:kern w:val="0"/>
          <w:sz w:val="32"/>
          <w:szCs w:val="32"/>
          <w:highlight w:val="none"/>
          <w:lang w:val="en-US" w:eastAsia="zh-CN"/>
        </w:rPr>
        <w:t>744</w:t>
      </w:r>
      <w:r>
        <w:rPr>
          <w:rFonts w:hint="eastAsia" w:ascii="仿宋_GB2312" w:hAnsi="仿宋_GB2312" w:eastAsia="仿宋_GB2312" w:cs="仿宋_GB2312"/>
          <w:color w:val="auto"/>
          <w:kern w:val="0"/>
          <w:sz w:val="32"/>
          <w:szCs w:val="32"/>
          <w:highlight w:val="none"/>
        </w:rPr>
        <w:t>号）</w:t>
      </w:r>
      <w:r>
        <w:rPr>
          <w:rFonts w:hint="eastAsia" w:ascii="仿宋_GB2312" w:hAnsi="仿宋_GB2312" w:eastAsia="仿宋_GB2312" w:cs="仿宋_GB2312"/>
          <w:color w:val="auto"/>
          <w:kern w:val="0"/>
          <w:highlight w:val="none"/>
          <w:lang w:val="en-US" w:eastAsia="zh-CN"/>
        </w:rPr>
        <w:t>和《</w:t>
      </w:r>
      <w:r>
        <w:rPr>
          <w:rFonts w:hint="eastAsia" w:ascii="仿宋_GB2312" w:hAnsi="仿宋_GB2312" w:cs="仿宋_GB2312"/>
          <w:color w:val="auto"/>
          <w:kern w:val="0"/>
          <w:highlight w:val="none"/>
          <w:lang w:val="en-US" w:eastAsia="zh-CN"/>
        </w:rPr>
        <w:t>生态保护修复</w:t>
      </w:r>
      <w:r>
        <w:rPr>
          <w:rFonts w:hint="eastAsia" w:ascii="仿宋_GB2312" w:hAnsi="仿宋_GB2312" w:eastAsia="仿宋_GB2312" w:cs="仿宋_GB2312"/>
          <w:color w:val="auto"/>
          <w:kern w:val="0"/>
          <w:highlight w:val="none"/>
          <w:lang w:val="en-US" w:eastAsia="zh-CN"/>
        </w:rPr>
        <w:t>中央预算内投资专项管理办法》</w:t>
      </w:r>
      <w:r>
        <w:rPr>
          <w:rFonts w:hint="eastAsia" w:ascii="仿宋_GB2312" w:hAnsi="仿宋_GB2312" w:eastAsia="仿宋_GB2312" w:cs="仿宋_GB2312"/>
          <w:color w:val="auto"/>
          <w:kern w:val="0"/>
          <w:sz w:val="32"/>
          <w:szCs w:val="32"/>
          <w:highlight w:val="none"/>
        </w:rPr>
        <w:t>（发改</w:t>
      </w:r>
      <w:r>
        <w:rPr>
          <w:rFonts w:hint="eastAsia" w:ascii="仿宋_GB2312" w:hAnsi="仿宋_GB2312" w:cs="仿宋_GB2312"/>
          <w:color w:val="auto"/>
          <w:kern w:val="0"/>
          <w:sz w:val="32"/>
          <w:szCs w:val="32"/>
          <w:highlight w:val="none"/>
          <w:lang w:val="en-US" w:eastAsia="zh-CN"/>
        </w:rPr>
        <w:t>农经</w:t>
      </w:r>
      <w:r>
        <w:rPr>
          <w:rFonts w:hint="eastAsia" w:ascii="仿宋_GB2312" w:hAnsi="仿宋_GB2312" w:eastAsia="仿宋_GB2312" w:cs="仿宋_GB2312"/>
          <w:color w:val="auto"/>
          <w:kern w:val="0"/>
          <w:sz w:val="32"/>
          <w:szCs w:val="32"/>
          <w:highlight w:val="none"/>
          <w:lang w:val="en-US" w:eastAsia="zh-CN"/>
        </w:rPr>
        <w:t>规</w:t>
      </w:r>
      <w:r>
        <w:rPr>
          <w:rFonts w:hint="eastAsia" w:ascii="仿宋_GB2312" w:hAnsi="仿宋_GB2312" w:eastAsia="仿宋_GB2312" w:cs="仿宋_GB2312"/>
          <w:color w:val="auto"/>
          <w:kern w:val="0"/>
          <w:sz w:val="32"/>
          <w:szCs w:val="32"/>
          <w:highlight w:val="none"/>
        </w:rPr>
        <w:t>〔20</w:t>
      </w:r>
      <w:r>
        <w:rPr>
          <w:rFonts w:hint="eastAsia" w:ascii="仿宋_GB2312" w:hAnsi="仿宋_GB2312" w:eastAsia="仿宋_GB2312" w:cs="仿宋_GB2312"/>
          <w:color w:val="auto"/>
          <w:kern w:val="0"/>
          <w:sz w:val="32"/>
          <w:szCs w:val="32"/>
          <w:highlight w:val="none"/>
          <w:lang w:val="en-US" w:eastAsia="zh-CN"/>
        </w:rPr>
        <w:t>2</w:t>
      </w:r>
      <w:r>
        <w:rPr>
          <w:rFonts w:hint="eastAsia" w:ascii="仿宋_GB2312" w:hAnsi="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5</w:t>
      </w:r>
      <w:r>
        <w:rPr>
          <w:rFonts w:hint="eastAsia" w:ascii="仿宋_GB2312" w:hAnsi="仿宋_GB2312" w:cs="仿宋_GB2312"/>
          <w:color w:val="auto"/>
          <w:kern w:val="0"/>
          <w:sz w:val="32"/>
          <w:szCs w:val="32"/>
          <w:highlight w:val="none"/>
          <w:lang w:val="en-US" w:eastAsia="zh-CN"/>
        </w:rPr>
        <w:t>90</w:t>
      </w:r>
      <w:r>
        <w:rPr>
          <w:rFonts w:hint="eastAsia" w:ascii="仿宋_GB2312" w:hAnsi="仿宋_GB2312" w:eastAsia="仿宋_GB2312" w:cs="仿宋_GB2312"/>
          <w:color w:val="auto"/>
          <w:kern w:val="0"/>
          <w:sz w:val="32"/>
          <w:szCs w:val="32"/>
          <w:highlight w:val="none"/>
        </w:rPr>
        <w:t>号）</w:t>
      </w:r>
      <w:r>
        <w:rPr>
          <w:rFonts w:hint="eastAsia" w:ascii="仿宋_GB2312" w:hAnsi="仿宋_GB2312" w:eastAsia="仿宋_GB2312" w:cs="仿宋_GB2312"/>
          <w:color w:val="auto"/>
          <w:kern w:val="0"/>
          <w:highlight w:val="none"/>
          <w:lang w:val="en-US" w:eastAsia="zh-CN"/>
        </w:rPr>
        <w:t>的规定执行。</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rPr>
          <w:rFonts w:hint="eastAsia" w:ascii="仿宋_GB2312" w:hAnsi="仿宋_GB2312" w:eastAsia="仿宋_GB2312" w:cs="仿宋_GB2312"/>
          <w:color w:val="FF0000"/>
          <w:kern w:val="0"/>
          <w:highlight w:val="none"/>
          <w:lang w:val="en-US" w:eastAsia="zh-CN"/>
        </w:rPr>
      </w:pPr>
      <w:r>
        <w:rPr>
          <w:rFonts w:hint="eastAsia" w:ascii="楷体_GB2312" w:hAnsi="楷体_GB2312" w:eastAsia="楷体_GB2312" w:cs="楷体_GB2312"/>
          <w:color w:val="auto"/>
          <w:kern w:val="0"/>
          <w:highlight w:val="none"/>
          <w:lang w:val="en-US" w:eastAsia="zh-CN"/>
        </w:rPr>
        <w:t>（二）申报数量。</w:t>
      </w:r>
      <w:r>
        <w:rPr>
          <w:rFonts w:hint="eastAsia" w:ascii="仿宋_GB2312" w:hAnsi="仿宋_GB2312" w:eastAsia="仿宋_GB2312" w:cs="仿宋_GB2312"/>
          <w:color w:val="auto"/>
          <w:kern w:val="0"/>
          <w:highlight w:val="none"/>
          <w:lang w:val="en-US" w:eastAsia="zh-CN"/>
        </w:rPr>
        <w:t>6大类项目中，除</w:t>
      </w:r>
      <w:r>
        <w:rPr>
          <w:rFonts w:hint="eastAsia" w:ascii="仿宋_GB2312" w:hAnsi="仿宋_GB2312" w:eastAsia="仿宋_GB2312" w:cs="仿宋_GB2312"/>
          <w:color w:val="auto"/>
          <w:kern w:val="0"/>
          <w:sz w:val="32"/>
          <w:szCs w:val="32"/>
          <w:highlight w:val="none"/>
          <w:lang w:val="en-US" w:eastAsia="zh-CN" w:bidi="ar-SA"/>
        </w:rPr>
        <w:t>高标准农田建设项目</w:t>
      </w:r>
      <w:r>
        <w:rPr>
          <w:rFonts w:hint="eastAsia" w:ascii="仿宋_GB2312" w:hAnsi="仿宋_GB2312" w:cs="仿宋_GB2312"/>
          <w:color w:val="auto"/>
          <w:kern w:val="0"/>
          <w:sz w:val="32"/>
          <w:szCs w:val="32"/>
          <w:highlight w:val="none"/>
          <w:lang w:val="en-US" w:eastAsia="zh-CN" w:bidi="ar-SA"/>
        </w:rPr>
        <w:t>外，</w:t>
      </w:r>
      <w:r>
        <w:rPr>
          <w:rFonts w:hint="eastAsia" w:ascii="仿宋_GB2312" w:hAnsi="仿宋_GB2312" w:eastAsia="仿宋_GB2312" w:cs="仿宋_GB2312"/>
          <w:color w:val="auto"/>
          <w:kern w:val="0"/>
          <w:highlight w:val="none"/>
          <w:lang w:val="en-US" w:eastAsia="zh-CN"/>
        </w:rPr>
        <w:t>每个大类</w:t>
      </w:r>
      <w:r>
        <w:rPr>
          <w:rFonts w:hint="eastAsia" w:ascii="仿宋_GB2312" w:hAnsi="仿宋_GB2312" w:cs="仿宋_GB2312"/>
          <w:color w:val="auto"/>
          <w:kern w:val="0"/>
          <w:highlight w:val="none"/>
          <w:lang w:val="en-US" w:eastAsia="zh-CN"/>
        </w:rPr>
        <w:t>一</w:t>
      </w:r>
      <w:r>
        <w:rPr>
          <w:rFonts w:hint="eastAsia" w:ascii="仿宋_GB2312" w:hAnsi="仿宋_GB2312" w:eastAsia="仿宋_GB2312" w:cs="仿宋_GB2312"/>
          <w:color w:val="auto"/>
          <w:kern w:val="0"/>
          <w:highlight w:val="none"/>
          <w:lang w:val="en-US" w:eastAsia="zh-CN"/>
        </w:rPr>
        <w:t>个</w:t>
      </w:r>
      <w:r>
        <w:rPr>
          <w:rFonts w:hint="eastAsia" w:ascii="仿宋_GB2312" w:hAnsi="仿宋_GB2312" w:cs="仿宋_GB2312"/>
          <w:color w:val="auto"/>
          <w:kern w:val="0"/>
          <w:highlight w:val="none"/>
          <w:lang w:val="en-US" w:eastAsia="zh-CN"/>
        </w:rPr>
        <w:t>独立法人</w:t>
      </w:r>
      <w:r>
        <w:rPr>
          <w:rFonts w:hint="eastAsia" w:ascii="仿宋_GB2312" w:hAnsi="仿宋_GB2312" w:eastAsia="仿宋_GB2312" w:cs="仿宋_GB2312"/>
          <w:color w:val="auto"/>
          <w:kern w:val="0"/>
          <w:highlight w:val="none"/>
          <w:lang w:val="en-US" w:eastAsia="zh-CN"/>
        </w:rPr>
        <w:t>单位限报2个项目</w:t>
      </w:r>
      <w:r>
        <w:rPr>
          <w:rFonts w:hint="eastAsia" w:ascii="仿宋_GB2312" w:hAnsi="仿宋_GB2312" w:eastAsia="仿宋_GB2312" w:cs="仿宋_GB2312"/>
          <w:color w:val="auto"/>
          <w:kern w:val="0"/>
          <w:sz w:val="32"/>
          <w:szCs w:val="32"/>
          <w:highlight w:val="none"/>
          <w:lang w:val="en-US" w:eastAsia="zh-CN" w:bidi="ar-SA"/>
        </w:rPr>
        <w:t>，如后期有第二批项目储备入库，申报</w:t>
      </w:r>
      <w:r>
        <w:rPr>
          <w:rFonts w:hint="eastAsia" w:ascii="仿宋_GB2312" w:hAnsi="仿宋_GB2312" w:cs="仿宋_GB2312"/>
          <w:color w:val="auto"/>
          <w:kern w:val="0"/>
          <w:sz w:val="32"/>
          <w:szCs w:val="32"/>
          <w:highlight w:val="none"/>
          <w:lang w:val="en-US" w:eastAsia="zh-CN" w:bidi="ar-SA"/>
        </w:rPr>
        <w:t>项目数量</w:t>
      </w:r>
      <w:r>
        <w:rPr>
          <w:rFonts w:hint="eastAsia" w:ascii="仿宋_GB2312" w:hAnsi="仿宋_GB2312" w:eastAsia="仿宋_GB2312" w:cs="仿宋_GB2312"/>
          <w:color w:val="auto"/>
          <w:kern w:val="0"/>
          <w:sz w:val="32"/>
          <w:szCs w:val="32"/>
          <w:highlight w:val="none"/>
          <w:lang w:val="en-US" w:eastAsia="zh-CN" w:bidi="ar-SA"/>
        </w:rPr>
        <w:t>累计</w:t>
      </w:r>
      <w:r>
        <w:rPr>
          <w:rFonts w:hint="eastAsia" w:ascii="仿宋_GB2312" w:hAnsi="仿宋_GB2312" w:cs="仿宋_GB2312"/>
          <w:color w:val="auto"/>
          <w:kern w:val="0"/>
          <w:sz w:val="32"/>
          <w:szCs w:val="32"/>
          <w:highlight w:val="none"/>
          <w:lang w:val="en-US" w:eastAsia="zh-CN" w:bidi="ar-SA"/>
        </w:rPr>
        <w:t>计算</w:t>
      </w:r>
      <w:r>
        <w:rPr>
          <w:rFonts w:hint="eastAsia" w:ascii="仿宋_GB2312" w:hAnsi="仿宋_GB2312" w:eastAsia="仿宋_GB2312" w:cs="仿宋_GB2312"/>
          <w:color w:val="auto"/>
          <w:kern w:val="0"/>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textAlignment w:val="auto"/>
        <w:rPr>
          <w:rFonts w:hint="eastAsia" w:ascii="仿宋_GB2312" w:hAnsi="仿宋_GB2312" w:eastAsia="仿宋_GB2312" w:cs="仿宋_GB2312"/>
          <w:snapToGrid w:val="0"/>
          <w:color w:val="auto"/>
          <w:kern w:val="0"/>
          <w:highlight w:val="none"/>
          <w:lang w:val="en-US" w:eastAsia="zh-CN"/>
        </w:rPr>
      </w:pPr>
      <w:r>
        <w:rPr>
          <w:rFonts w:hint="eastAsia" w:ascii="楷体_GB2312" w:hAnsi="楷体_GB2312" w:eastAsia="楷体_GB2312" w:cs="楷体_GB2312"/>
          <w:snapToGrid w:val="0"/>
          <w:color w:val="auto"/>
          <w:kern w:val="0"/>
          <w:highlight w:val="none"/>
          <w:lang w:val="en-US" w:eastAsia="zh-CN"/>
        </w:rPr>
        <w:t>（三）申报程序。</w:t>
      </w:r>
      <w:r>
        <w:rPr>
          <w:rFonts w:hint="eastAsia" w:ascii="仿宋_GB2312" w:hAnsi="仿宋_GB2312" w:cs="仿宋_GB2312"/>
          <w:snapToGrid w:val="0"/>
          <w:color w:val="auto"/>
          <w:kern w:val="0"/>
          <w:highlight w:val="none"/>
          <w:lang w:val="en-US" w:eastAsia="zh-CN"/>
        </w:rPr>
        <w:t>县级</w:t>
      </w:r>
      <w:r>
        <w:rPr>
          <w:rFonts w:hint="eastAsia" w:ascii="仿宋_GB2312" w:hAnsi="仿宋_GB2312" w:cs="仿宋_GB2312"/>
          <w:snapToGrid w:val="0"/>
          <w:color w:val="auto"/>
          <w:kern w:val="0"/>
          <w:highlight w:val="none"/>
        </w:rPr>
        <w:t>农业农村部门</w:t>
      </w:r>
      <w:r>
        <w:rPr>
          <w:rFonts w:hint="eastAsia" w:ascii="仿宋_GB2312" w:hAnsi="仿宋_GB2312" w:cs="仿宋_GB2312"/>
          <w:snapToGrid w:val="0"/>
          <w:color w:val="auto"/>
          <w:kern w:val="0"/>
          <w:highlight w:val="none"/>
          <w:lang w:eastAsia="zh-CN"/>
        </w:rPr>
        <w:t>须</w:t>
      </w:r>
      <w:r>
        <w:rPr>
          <w:rFonts w:hint="eastAsia" w:ascii="仿宋_GB2312" w:hAnsi="仿宋_GB2312" w:cs="仿宋_GB2312"/>
          <w:snapToGrid w:val="0"/>
          <w:color w:val="auto"/>
          <w:kern w:val="0"/>
          <w:highlight w:val="none"/>
        </w:rPr>
        <w:t>逐级上报。省直事业单位、省属科研院所和高等院校直接以本单位名义申报。</w:t>
      </w:r>
    </w:p>
    <w:p>
      <w:pPr>
        <w:pStyle w:val="10"/>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640" w:firstLineChars="200"/>
        <w:jc w:val="both"/>
        <w:textAlignment w:val="auto"/>
        <w:rPr>
          <w:rFonts w:hint="eastAsia" w:ascii="楷体_GB2312" w:hAnsi="楷体_GB2312" w:eastAsia="楷体_GB2312" w:cs="楷体_GB2312"/>
          <w:color w:val="auto"/>
          <w:kern w:val="0"/>
          <w:sz w:val="32"/>
          <w:szCs w:val="32"/>
          <w:highlight w:val="none"/>
          <w:lang w:val="en-US" w:eastAsia="zh-CN" w:bidi="ar-SA"/>
        </w:rPr>
      </w:pPr>
      <w:r>
        <w:rPr>
          <w:rFonts w:hint="eastAsia" w:ascii="楷体_GB2312" w:hAnsi="楷体_GB2312" w:eastAsia="楷体_GB2312" w:cs="楷体_GB2312"/>
          <w:color w:val="auto"/>
          <w:kern w:val="0"/>
          <w:sz w:val="32"/>
          <w:szCs w:val="32"/>
          <w:highlight w:val="none"/>
          <w:lang w:val="en-US" w:eastAsia="zh-CN" w:bidi="ar-SA"/>
        </w:rPr>
        <w:t>（四）限制条件</w:t>
      </w:r>
    </w:p>
    <w:p>
      <w:pPr>
        <w:pStyle w:val="10"/>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640" w:firstLineChars="200"/>
        <w:jc w:val="both"/>
        <w:textAlignment w:val="auto"/>
        <w:rPr>
          <w:rFonts w:hint="default" w:ascii="仿宋_GB2312" w:hAnsi="仿宋_GB2312" w:eastAsia="仿宋_GB2312" w:cs="仿宋_GB2312"/>
          <w:b w:val="0"/>
          <w:bCs/>
          <w:color w:val="auto"/>
          <w:kern w:val="0"/>
          <w:sz w:val="32"/>
          <w:szCs w:val="32"/>
          <w:highlight w:val="none"/>
          <w:lang w:val="en-US" w:eastAsia="zh-CN"/>
        </w:rPr>
      </w:pPr>
      <w:r>
        <w:rPr>
          <w:rFonts w:hint="eastAsia" w:ascii="仿宋_GB2312" w:hAnsi="仿宋_GB2312" w:eastAsia="仿宋_GB2312" w:cs="仿宋_GB2312"/>
          <w:color w:val="auto"/>
          <w:kern w:val="0"/>
          <w:highlight w:val="none"/>
          <w:lang w:val="en-US" w:eastAsia="zh-CN"/>
        </w:rPr>
        <w:t>1.</w:t>
      </w:r>
      <w:r>
        <w:rPr>
          <w:rFonts w:hint="eastAsia" w:ascii="仿宋_GB2312" w:hAnsi="仿宋_GB2312" w:eastAsia="仿宋_GB2312" w:cs="仿宋_GB2312"/>
          <w:b w:val="0"/>
          <w:bCs/>
          <w:color w:val="auto"/>
          <w:kern w:val="0"/>
          <w:sz w:val="32"/>
          <w:szCs w:val="32"/>
          <w:highlight w:val="none"/>
          <w:lang w:val="en-US" w:eastAsia="zh-CN"/>
        </w:rPr>
        <w:t>对于</w:t>
      </w:r>
      <w:r>
        <w:rPr>
          <w:rFonts w:hint="eastAsia" w:ascii="仿宋_GB2312" w:hAnsi="仿宋_GB2312" w:cs="仿宋_GB2312"/>
          <w:b w:val="0"/>
          <w:bCs/>
          <w:color w:val="auto"/>
          <w:kern w:val="0"/>
          <w:sz w:val="32"/>
          <w:szCs w:val="32"/>
          <w:highlight w:val="none"/>
          <w:lang w:val="en-US" w:eastAsia="zh-CN"/>
        </w:rPr>
        <w:t>安排投资超过2年及以上仍未开工、超期2年及以上仍未完工或中央预算内投资支付率低于45%的重点项目</w:t>
      </w:r>
      <w:r>
        <w:rPr>
          <w:rFonts w:hint="eastAsia" w:ascii="仿宋_GB2312" w:hAnsi="仿宋_GB2312" w:eastAsia="仿宋_GB2312" w:cs="仿宋_GB2312"/>
          <w:b w:val="0"/>
          <w:bCs/>
          <w:color w:val="auto"/>
          <w:kern w:val="0"/>
          <w:sz w:val="32"/>
          <w:szCs w:val="32"/>
          <w:highlight w:val="none"/>
          <w:lang w:val="en-US" w:eastAsia="zh-CN"/>
        </w:rPr>
        <w:t>的市、县级或省</w:t>
      </w:r>
      <w:r>
        <w:rPr>
          <w:rFonts w:hint="eastAsia" w:ascii="仿宋_GB2312" w:hAnsi="仿宋_GB2312" w:cs="仿宋_GB2312"/>
          <w:b w:val="0"/>
          <w:bCs/>
          <w:color w:val="auto"/>
          <w:kern w:val="0"/>
          <w:sz w:val="32"/>
          <w:szCs w:val="32"/>
          <w:highlight w:val="none"/>
          <w:lang w:val="en-US" w:eastAsia="zh-CN"/>
        </w:rPr>
        <w:t>有关</w:t>
      </w:r>
      <w:r>
        <w:rPr>
          <w:rFonts w:hint="eastAsia" w:ascii="仿宋_GB2312" w:hAnsi="仿宋_GB2312" w:eastAsia="仿宋_GB2312" w:cs="仿宋_GB2312"/>
          <w:b w:val="0"/>
          <w:bCs/>
          <w:color w:val="auto"/>
          <w:kern w:val="0"/>
          <w:sz w:val="32"/>
          <w:szCs w:val="32"/>
          <w:highlight w:val="none"/>
          <w:lang w:val="en-US" w:eastAsia="zh-CN"/>
        </w:rPr>
        <w:t>单位，整改完成前，暂停申报202</w:t>
      </w:r>
      <w:r>
        <w:rPr>
          <w:rFonts w:hint="eastAsia" w:ascii="仿宋_GB2312" w:hAnsi="仿宋_GB2312" w:cs="仿宋_GB2312"/>
          <w:b w:val="0"/>
          <w:bCs/>
          <w:color w:val="auto"/>
          <w:kern w:val="0"/>
          <w:sz w:val="32"/>
          <w:szCs w:val="32"/>
          <w:highlight w:val="none"/>
          <w:lang w:val="en-US" w:eastAsia="zh-CN"/>
        </w:rPr>
        <w:t>5</w:t>
      </w:r>
      <w:r>
        <w:rPr>
          <w:rFonts w:hint="eastAsia" w:ascii="仿宋_GB2312" w:hAnsi="仿宋_GB2312" w:eastAsia="仿宋_GB2312" w:cs="仿宋_GB2312"/>
          <w:b w:val="0"/>
          <w:bCs/>
          <w:color w:val="auto"/>
          <w:kern w:val="0"/>
          <w:sz w:val="32"/>
          <w:szCs w:val="32"/>
          <w:highlight w:val="none"/>
          <w:lang w:val="en-US" w:eastAsia="zh-CN"/>
        </w:rPr>
        <w:t>度中央预算内投资农业建设项目。</w:t>
      </w:r>
      <w:r>
        <w:rPr>
          <w:rFonts w:hint="eastAsia" w:ascii="仿宋_GB2312" w:hAnsi="仿宋_GB2312" w:cs="仿宋_GB2312"/>
          <w:b w:val="0"/>
          <w:bCs/>
          <w:color w:val="auto"/>
          <w:kern w:val="0"/>
          <w:sz w:val="32"/>
          <w:szCs w:val="32"/>
          <w:highlight w:val="none"/>
          <w:lang w:val="en-US" w:eastAsia="zh-CN"/>
        </w:rPr>
        <w:t xml:space="preserve">      </w:t>
      </w:r>
    </w:p>
    <w:p>
      <w:pPr>
        <w:pStyle w:val="10"/>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640" w:firstLineChars="200"/>
        <w:jc w:val="both"/>
        <w:textAlignment w:val="auto"/>
        <w:rPr>
          <w:rFonts w:hint="eastAsia" w:ascii="仿宋_GB2312" w:hAnsi="仿宋_GB2312" w:eastAsia="仿宋_GB2312" w:cs="仿宋_GB2312"/>
          <w:b w:val="0"/>
          <w:bCs/>
          <w:color w:val="auto"/>
          <w:kern w:val="0"/>
          <w:sz w:val="32"/>
          <w:szCs w:val="32"/>
          <w:highlight w:val="none"/>
          <w:lang w:val="en-US" w:eastAsia="zh-CN"/>
        </w:rPr>
      </w:pPr>
      <w:r>
        <w:rPr>
          <w:rFonts w:hint="eastAsia" w:ascii="仿宋_GB2312" w:hAnsi="仿宋_GB2312" w:eastAsia="仿宋_GB2312" w:cs="仿宋_GB2312"/>
          <w:b w:val="0"/>
          <w:bCs/>
          <w:color w:val="auto"/>
          <w:kern w:val="0"/>
          <w:sz w:val="32"/>
          <w:szCs w:val="32"/>
          <w:highlight w:val="none"/>
          <w:lang w:val="en-US" w:eastAsia="zh-CN"/>
        </w:rPr>
        <w:t>2.承担过中央预算内投资农业建设项目相同专项且至今尚未完成竣工验收的项目单位，申报项目不列入储备范围。</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rPr>
          <w:rFonts w:hint="eastAsia" w:ascii="仿宋_GB2312" w:hAnsi="仿宋_GB2312" w:eastAsia="仿宋_GB2312" w:cs="仿宋_GB2312"/>
          <w:b w:val="0"/>
          <w:bCs/>
          <w:color w:val="auto"/>
          <w:kern w:val="0"/>
          <w:sz w:val="32"/>
          <w:szCs w:val="32"/>
          <w:highlight w:val="none"/>
          <w:lang w:val="en-US" w:eastAsia="zh-CN"/>
        </w:rPr>
      </w:pPr>
      <w:r>
        <w:rPr>
          <w:rFonts w:hint="eastAsia" w:ascii="仿宋_GB2312" w:hAnsi="仿宋_GB2312" w:cs="仿宋_GB2312"/>
          <w:b w:val="0"/>
          <w:bCs/>
          <w:color w:val="auto"/>
          <w:kern w:val="0"/>
          <w:sz w:val="32"/>
          <w:szCs w:val="32"/>
          <w:highlight w:val="none"/>
          <w:lang w:val="en-US" w:eastAsia="zh-CN"/>
        </w:rPr>
        <w:t>3</w:t>
      </w:r>
      <w:r>
        <w:rPr>
          <w:rFonts w:hint="eastAsia" w:ascii="仿宋_GB2312" w:hAnsi="仿宋_GB2312" w:eastAsia="仿宋_GB2312" w:cs="仿宋_GB2312"/>
          <w:b w:val="0"/>
          <w:bCs/>
          <w:color w:val="auto"/>
          <w:kern w:val="0"/>
          <w:sz w:val="32"/>
          <w:szCs w:val="32"/>
          <w:highlight w:val="none"/>
          <w:lang w:val="en-US" w:eastAsia="zh-CN"/>
        </w:rPr>
        <w:t>.</w:t>
      </w:r>
      <w:r>
        <w:rPr>
          <w:rFonts w:hint="eastAsia" w:ascii="仿宋_GB2312" w:hAnsi="仿宋_GB2312" w:eastAsia="仿宋_GB2312" w:cs="仿宋_GB2312"/>
          <w:color w:val="auto"/>
          <w:kern w:val="0"/>
          <w:highlight w:val="none"/>
          <w:lang w:val="en-US" w:eastAsia="zh-CN"/>
        </w:rPr>
        <w:t>列入失信惩戒对象名单的主体，不得申报</w:t>
      </w:r>
      <w:r>
        <w:rPr>
          <w:rFonts w:hint="eastAsia" w:ascii="仿宋_GB2312" w:hAnsi="仿宋_GB2312" w:cs="仿宋_GB2312"/>
          <w:color w:val="auto"/>
          <w:kern w:val="0"/>
          <w:highlight w:val="none"/>
          <w:lang w:val="en-US" w:eastAsia="zh-CN"/>
        </w:rPr>
        <w:t>和储备</w:t>
      </w:r>
      <w:r>
        <w:rPr>
          <w:rFonts w:hint="eastAsia" w:ascii="仿宋_GB2312" w:hAnsi="仿宋_GB2312" w:eastAsia="仿宋_GB2312" w:cs="仿宋_GB2312"/>
          <w:color w:val="auto"/>
          <w:kern w:val="0"/>
          <w:highlight w:val="none"/>
          <w:lang w:val="en-US" w:eastAsia="zh-CN"/>
        </w:rPr>
        <w:t>项目。</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rPr>
          <w:rFonts w:hint="eastAsia" w:ascii="仿宋_GB2312" w:hAnsi="仿宋_GB2312" w:eastAsia="仿宋_GB2312" w:cs="仿宋_GB2312"/>
          <w:color w:val="auto"/>
          <w:kern w:val="0"/>
          <w:highlight w:val="none"/>
          <w:lang w:val="en-US" w:eastAsia="zh-CN"/>
        </w:rPr>
      </w:pPr>
      <w:r>
        <w:rPr>
          <w:rFonts w:hint="eastAsia" w:ascii="仿宋_GB2312" w:hAnsi="仿宋_GB2312" w:cs="仿宋_GB2312"/>
          <w:color w:val="auto"/>
          <w:kern w:val="0"/>
          <w:highlight w:val="none"/>
          <w:lang w:val="en-US" w:eastAsia="zh-CN"/>
        </w:rPr>
        <w:t>4</w:t>
      </w:r>
      <w:r>
        <w:rPr>
          <w:rFonts w:hint="eastAsia" w:ascii="仿宋_GB2312" w:hAnsi="仿宋_GB2312" w:eastAsia="仿宋_GB2312" w:cs="仿宋_GB2312"/>
          <w:color w:val="auto"/>
          <w:kern w:val="0"/>
          <w:highlight w:val="none"/>
          <w:lang w:val="en-US" w:eastAsia="zh-CN"/>
        </w:rPr>
        <w:t>.采取</w:t>
      </w:r>
      <w:r>
        <w:rPr>
          <w:rFonts w:hint="eastAsia" w:ascii="仿宋_GB2312" w:hAnsi="仿宋_GB2312" w:cs="仿宋_GB2312"/>
          <w:color w:val="auto"/>
          <w:kern w:val="0"/>
          <w:highlight w:val="none"/>
          <w:lang w:val="en-US" w:eastAsia="zh-CN"/>
        </w:rPr>
        <w:t>政府和社会资本合作模式（</w:t>
      </w:r>
      <w:r>
        <w:rPr>
          <w:rFonts w:hint="eastAsia" w:ascii="仿宋_GB2312" w:hAnsi="仿宋_GB2312" w:eastAsia="仿宋_GB2312" w:cs="仿宋_GB2312"/>
          <w:color w:val="auto"/>
          <w:kern w:val="0"/>
          <w:highlight w:val="none"/>
          <w:lang w:val="en-US" w:eastAsia="zh-CN"/>
        </w:rPr>
        <w:t>PPP</w:t>
      </w:r>
      <w:r>
        <w:rPr>
          <w:rFonts w:hint="eastAsia" w:ascii="仿宋_GB2312" w:hAnsi="仿宋_GB2312" w:cs="仿宋_GB2312"/>
          <w:color w:val="auto"/>
          <w:kern w:val="0"/>
          <w:highlight w:val="none"/>
          <w:lang w:val="en-US" w:eastAsia="zh-CN"/>
        </w:rPr>
        <w:t>）</w:t>
      </w:r>
      <w:r>
        <w:rPr>
          <w:rFonts w:hint="eastAsia" w:ascii="仿宋_GB2312" w:hAnsi="仿宋_GB2312" w:eastAsia="仿宋_GB2312" w:cs="仿宋_GB2312"/>
          <w:color w:val="auto"/>
          <w:kern w:val="0"/>
          <w:highlight w:val="none"/>
          <w:lang w:val="en-US" w:eastAsia="zh-CN"/>
        </w:rPr>
        <w:t>建设的项目暂不纳入储备申报范围。</w:t>
      </w:r>
    </w:p>
    <w:p>
      <w:pPr>
        <w:keepNext w:val="0"/>
        <w:keepLines w:val="0"/>
        <w:pageBreakBefore w:val="0"/>
        <w:widowControl w:val="0"/>
        <w:kinsoku/>
        <w:wordWrap/>
        <w:overflowPunct/>
        <w:topLinePunct w:val="0"/>
        <w:autoSpaceDE/>
        <w:autoSpaceDN/>
        <w:bidi w:val="0"/>
        <w:adjustRightInd w:val="0"/>
        <w:snapToGrid w:val="0"/>
        <w:spacing w:before="0" w:after="0" w:line="590" w:lineRule="exact"/>
        <w:ind w:left="0" w:leftChars="0" w:right="0" w:firstLine="640" w:firstLineChars="200"/>
        <w:jc w:val="both"/>
        <w:outlineLvl w:val="9"/>
        <w:rPr>
          <w:rFonts w:hint="eastAsia" w:ascii="黑体" w:hAnsi="黑体" w:eastAsia="黑体" w:cs="黑体"/>
          <w:b w:val="0"/>
          <w:bCs w:val="0"/>
          <w:color w:val="auto"/>
          <w:kern w:val="0"/>
          <w:highlight w:val="none"/>
          <w:lang w:val="en-US" w:eastAsia="zh-CN"/>
        </w:rPr>
      </w:pPr>
      <w:r>
        <w:rPr>
          <w:rFonts w:hint="eastAsia" w:ascii="黑体" w:hAnsi="黑体" w:eastAsia="黑体" w:cs="黑体"/>
          <w:b w:val="0"/>
          <w:bCs w:val="0"/>
          <w:color w:val="auto"/>
          <w:kern w:val="0"/>
          <w:highlight w:val="none"/>
          <w:lang w:val="en-US" w:eastAsia="zh-CN"/>
        </w:rPr>
        <w:t>三、申报材料要求</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rPr>
          <w:rFonts w:hint="eastAsia" w:ascii="仿宋_GB2312" w:hAnsi="仿宋_GB2312" w:eastAsia="仿宋_GB2312" w:cs="仿宋_GB2312"/>
          <w:color w:val="auto"/>
          <w:kern w:val="0"/>
          <w:highlight w:val="none"/>
          <w:lang w:val="en-US" w:eastAsia="zh-CN"/>
        </w:rPr>
      </w:pPr>
      <w:r>
        <w:rPr>
          <w:rFonts w:hint="eastAsia" w:ascii="仿宋_GB2312" w:hAnsi="仿宋_GB2312" w:eastAsia="仿宋_GB2312" w:cs="仿宋_GB2312"/>
          <w:color w:val="auto"/>
          <w:kern w:val="0"/>
          <w:highlight w:val="none"/>
          <w:lang w:val="en-US" w:eastAsia="zh-CN"/>
        </w:rPr>
        <w:t>申报材料包括正式申报文件和附件两大部分。</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rPr>
          <w:rFonts w:hint="eastAsia" w:ascii="楷体_GB2312" w:hAnsi="楷体_GB2312" w:eastAsia="楷体_GB2312" w:cs="楷体_GB2312"/>
          <w:color w:val="auto"/>
          <w:kern w:val="0"/>
          <w:highlight w:val="none"/>
          <w:lang w:val="en-US" w:eastAsia="zh-CN"/>
        </w:rPr>
      </w:pPr>
      <w:r>
        <w:rPr>
          <w:rFonts w:hint="eastAsia" w:ascii="楷体_GB2312" w:hAnsi="楷体_GB2312" w:eastAsia="楷体_GB2312" w:cs="楷体_GB2312"/>
          <w:color w:val="auto"/>
          <w:kern w:val="0"/>
          <w:highlight w:val="none"/>
          <w:lang w:val="en-US" w:eastAsia="zh-CN"/>
        </w:rPr>
        <w:t>（一）申报文件</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rPr>
          <w:rFonts w:hint="eastAsia" w:ascii="仿宋_GB2312" w:hAnsi="仿宋_GB2312" w:eastAsia="仿宋_GB2312" w:cs="仿宋_GB2312"/>
          <w:b w:val="0"/>
          <w:bCs/>
          <w:color w:val="auto"/>
          <w:kern w:val="0"/>
          <w:sz w:val="32"/>
          <w:szCs w:val="32"/>
          <w:highlight w:val="none"/>
          <w:lang w:val="en-US" w:eastAsia="zh-CN"/>
        </w:rPr>
      </w:pPr>
      <w:r>
        <w:rPr>
          <w:rFonts w:hint="eastAsia" w:ascii="仿宋_GB2312" w:hAnsi="仿宋_GB2312" w:cs="仿宋_GB2312"/>
          <w:snapToGrid w:val="0"/>
          <w:color w:val="auto"/>
          <w:kern w:val="0"/>
          <w:highlight w:val="none"/>
          <w:lang w:val="en-US" w:eastAsia="zh-CN"/>
        </w:rPr>
        <w:t>县级</w:t>
      </w:r>
      <w:r>
        <w:rPr>
          <w:rFonts w:hint="eastAsia" w:ascii="仿宋_GB2312" w:hAnsi="仿宋_GB2312" w:cs="仿宋_GB2312"/>
          <w:snapToGrid w:val="0"/>
          <w:color w:val="auto"/>
          <w:kern w:val="0"/>
          <w:highlight w:val="none"/>
        </w:rPr>
        <w:t>农业农村部门</w:t>
      </w:r>
      <w:r>
        <w:rPr>
          <w:rFonts w:hint="eastAsia" w:ascii="仿宋_GB2312" w:hAnsi="仿宋_GB2312" w:cs="仿宋_GB2312"/>
          <w:snapToGrid w:val="0"/>
          <w:color w:val="auto"/>
          <w:kern w:val="0"/>
          <w:highlight w:val="none"/>
          <w:lang w:eastAsia="zh-CN"/>
        </w:rPr>
        <w:t>须</w:t>
      </w:r>
      <w:r>
        <w:rPr>
          <w:rFonts w:hint="eastAsia" w:ascii="仿宋_GB2312" w:hAnsi="仿宋_GB2312" w:cs="仿宋_GB2312"/>
          <w:snapToGrid w:val="0"/>
          <w:color w:val="auto"/>
          <w:kern w:val="0"/>
          <w:highlight w:val="none"/>
        </w:rPr>
        <w:t>逐级上报</w:t>
      </w:r>
      <w:r>
        <w:rPr>
          <w:rFonts w:hint="eastAsia" w:ascii="仿宋_GB2312" w:hAnsi="仿宋_GB2312" w:cs="仿宋_GB2312"/>
          <w:snapToGrid w:val="0"/>
          <w:color w:val="auto"/>
          <w:kern w:val="0"/>
          <w:highlight w:val="none"/>
          <w:lang w:eastAsia="zh-CN"/>
        </w:rPr>
        <w:t>，由</w:t>
      </w:r>
      <w:r>
        <w:rPr>
          <w:rFonts w:hint="eastAsia" w:ascii="仿宋_GB2312" w:hAnsi="仿宋_GB2312" w:eastAsia="仿宋_GB2312" w:cs="仿宋_GB2312"/>
          <w:color w:val="auto"/>
          <w:kern w:val="0"/>
          <w:highlight w:val="none"/>
          <w:lang w:val="en-US" w:eastAsia="zh-CN"/>
        </w:rPr>
        <w:t>市农业农村部门审核后</w:t>
      </w:r>
      <w:r>
        <w:rPr>
          <w:rFonts w:hint="eastAsia" w:ascii="仿宋_GB2312" w:hAnsi="仿宋_GB2312" w:cs="仿宋_GB2312"/>
          <w:snapToGrid w:val="0"/>
          <w:color w:val="auto"/>
          <w:kern w:val="0"/>
          <w:highlight w:val="none"/>
          <w:lang w:eastAsia="zh-CN"/>
        </w:rPr>
        <w:t>上报</w:t>
      </w:r>
      <w:r>
        <w:rPr>
          <w:rFonts w:hint="eastAsia" w:ascii="仿宋_GB2312" w:hAnsi="仿宋_GB2312" w:eastAsia="仿宋_GB2312" w:cs="仿宋_GB2312"/>
          <w:i w:val="0"/>
          <w:caps w:val="0"/>
          <w:color w:val="auto"/>
          <w:spacing w:val="0"/>
          <w:kern w:val="0"/>
          <w:sz w:val="32"/>
          <w:szCs w:val="32"/>
          <w:highlight w:val="none"/>
          <w:shd w:val="clear" w:color="auto" w:fill="FFFFFF"/>
          <w:lang w:val="en-US" w:eastAsia="zh-CN"/>
        </w:rPr>
        <w:t>省农业农村厅</w:t>
      </w:r>
      <w:r>
        <w:rPr>
          <w:rFonts w:hint="eastAsia" w:ascii="仿宋_GB2312" w:hAnsi="仿宋_GB2312" w:cs="仿宋_GB2312"/>
          <w:i w:val="0"/>
          <w:caps w:val="0"/>
          <w:color w:val="auto"/>
          <w:spacing w:val="0"/>
          <w:kern w:val="0"/>
          <w:sz w:val="32"/>
          <w:szCs w:val="32"/>
          <w:highlight w:val="none"/>
          <w:shd w:val="clear" w:color="auto" w:fill="FFFFFF"/>
          <w:lang w:val="en-US" w:eastAsia="zh-CN"/>
        </w:rPr>
        <w:t>，</w:t>
      </w:r>
      <w:r>
        <w:rPr>
          <w:rFonts w:hint="eastAsia" w:ascii="仿宋_GB2312" w:hAnsi="仿宋_GB2312" w:eastAsia="仿宋_GB2312" w:cs="仿宋_GB2312"/>
          <w:i w:val="0"/>
          <w:caps w:val="0"/>
          <w:color w:val="auto"/>
          <w:spacing w:val="0"/>
          <w:kern w:val="0"/>
          <w:sz w:val="32"/>
          <w:szCs w:val="32"/>
          <w:highlight w:val="none"/>
          <w:shd w:val="clear" w:color="auto" w:fill="FFFFFF"/>
          <w:lang w:val="en-US" w:eastAsia="zh-CN"/>
        </w:rPr>
        <w:t>省有关单位可直接报送省农业农村厅。</w:t>
      </w:r>
      <w:r>
        <w:rPr>
          <w:rFonts w:hint="eastAsia" w:ascii="仿宋_GB2312" w:hAnsi="仿宋_GB2312" w:eastAsia="仿宋_GB2312" w:cs="仿宋_GB2312"/>
          <w:b w:val="0"/>
          <w:bCs/>
          <w:color w:val="auto"/>
          <w:kern w:val="0"/>
          <w:sz w:val="32"/>
          <w:szCs w:val="32"/>
          <w:highlight w:val="none"/>
          <w:lang w:val="en-US" w:eastAsia="zh-CN"/>
        </w:rPr>
        <w:t>项目正式申报请示文件中须明确承诺“不会造成地方政府隐性债务，项</w:t>
      </w:r>
      <w:r>
        <w:rPr>
          <w:rFonts w:hint="eastAsia" w:ascii="仿宋_GB2312" w:hAnsi="仿宋_GB2312" w:eastAsia="仿宋_GB2312" w:cs="仿宋_GB2312"/>
          <w:b w:val="0"/>
          <w:bCs/>
          <w:snapToGrid w:val="0"/>
          <w:color w:val="auto"/>
          <w:spacing w:val="-6"/>
          <w:kern w:val="0"/>
          <w:sz w:val="32"/>
          <w:szCs w:val="32"/>
          <w:highlight w:val="none"/>
          <w:lang w:val="en-US" w:eastAsia="zh-CN"/>
        </w:rPr>
        <w:t>目不存在未完成竣工验收的项目单位申报</w:t>
      </w:r>
      <w:r>
        <w:rPr>
          <w:rFonts w:hint="eastAsia" w:ascii="仿宋_GB2312" w:hAnsi="仿宋_GB2312" w:cs="仿宋_GB2312"/>
          <w:b w:val="0"/>
          <w:bCs/>
          <w:snapToGrid w:val="0"/>
          <w:color w:val="auto"/>
          <w:spacing w:val="-6"/>
          <w:kern w:val="0"/>
          <w:sz w:val="32"/>
          <w:szCs w:val="32"/>
          <w:highlight w:val="none"/>
          <w:lang w:val="en-US" w:eastAsia="zh-CN"/>
        </w:rPr>
        <w:t>、</w:t>
      </w:r>
      <w:r>
        <w:rPr>
          <w:rFonts w:hint="eastAsia" w:ascii="仿宋_GB2312" w:hAnsi="仿宋_GB2312" w:eastAsia="仿宋_GB2312" w:cs="仿宋_GB2312"/>
          <w:snapToGrid w:val="0"/>
          <w:color w:val="auto"/>
          <w:spacing w:val="-6"/>
          <w:kern w:val="0"/>
          <w:highlight w:val="none"/>
          <w:lang w:val="en-US" w:eastAsia="zh-CN"/>
        </w:rPr>
        <w:t>列入失信惩戒对象名单的主体申报</w:t>
      </w:r>
      <w:r>
        <w:rPr>
          <w:rFonts w:hint="eastAsia" w:ascii="仿宋_GB2312" w:hAnsi="仿宋_GB2312" w:cs="仿宋_GB2312"/>
          <w:snapToGrid w:val="0"/>
          <w:color w:val="auto"/>
          <w:spacing w:val="-6"/>
          <w:kern w:val="0"/>
          <w:highlight w:val="none"/>
          <w:lang w:val="en-US" w:eastAsia="zh-CN"/>
        </w:rPr>
        <w:t>和政府和社会资本合作模式（</w:t>
      </w:r>
      <w:r>
        <w:rPr>
          <w:rFonts w:hint="eastAsia" w:ascii="仿宋_GB2312" w:hAnsi="仿宋_GB2312" w:eastAsia="仿宋_GB2312" w:cs="仿宋_GB2312"/>
          <w:snapToGrid w:val="0"/>
          <w:color w:val="auto"/>
          <w:spacing w:val="-6"/>
          <w:kern w:val="0"/>
          <w:highlight w:val="none"/>
          <w:lang w:val="en-US" w:eastAsia="zh-CN"/>
        </w:rPr>
        <w:t>PPP</w:t>
      </w:r>
      <w:r>
        <w:rPr>
          <w:rFonts w:hint="eastAsia" w:ascii="仿宋_GB2312" w:hAnsi="仿宋_GB2312" w:cs="仿宋_GB2312"/>
          <w:snapToGrid w:val="0"/>
          <w:color w:val="auto"/>
          <w:spacing w:val="-6"/>
          <w:kern w:val="0"/>
          <w:highlight w:val="none"/>
          <w:lang w:val="en-US" w:eastAsia="zh-CN"/>
        </w:rPr>
        <w:t>）</w:t>
      </w:r>
      <w:r>
        <w:rPr>
          <w:rFonts w:hint="eastAsia" w:ascii="仿宋_GB2312" w:hAnsi="仿宋_GB2312" w:eastAsia="仿宋_GB2312" w:cs="仿宋_GB2312"/>
          <w:snapToGrid w:val="0"/>
          <w:color w:val="auto"/>
          <w:spacing w:val="-6"/>
          <w:kern w:val="0"/>
          <w:highlight w:val="none"/>
          <w:lang w:val="en-US" w:eastAsia="zh-CN"/>
        </w:rPr>
        <w:t>模式建设的项目</w:t>
      </w:r>
      <w:r>
        <w:rPr>
          <w:rFonts w:hint="eastAsia" w:ascii="仿宋_GB2312" w:hAnsi="仿宋_GB2312" w:cs="仿宋_GB2312"/>
          <w:snapToGrid w:val="0"/>
          <w:color w:val="auto"/>
          <w:spacing w:val="-6"/>
          <w:kern w:val="0"/>
          <w:highlight w:val="none"/>
          <w:lang w:val="en-US" w:eastAsia="zh-CN"/>
        </w:rPr>
        <w:t>”</w:t>
      </w:r>
      <w:r>
        <w:rPr>
          <w:rFonts w:hint="eastAsia" w:ascii="仿宋_GB2312" w:hAnsi="仿宋_GB2312" w:eastAsia="仿宋_GB2312" w:cs="仿宋_GB2312"/>
          <w:b w:val="0"/>
          <w:bCs/>
          <w:snapToGrid w:val="0"/>
          <w:color w:val="auto"/>
          <w:spacing w:val="-6"/>
          <w:kern w:val="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rPr>
          <w:rFonts w:hint="eastAsia" w:ascii="楷体_GB2312" w:hAnsi="楷体_GB2312" w:eastAsia="楷体_GB2312" w:cs="楷体_GB2312"/>
          <w:color w:val="auto"/>
          <w:kern w:val="0"/>
          <w:highlight w:val="none"/>
          <w:lang w:val="en-US" w:eastAsia="zh-CN"/>
        </w:rPr>
      </w:pPr>
      <w:r>
        <w:rPr>
          <w:rFonts w:hint="eastAsia" w:ascii="楷体_GB2312" w:hAnsi="楷体_GB2312" w:eastAsia="楷体_GB2312" w:cs="楷体_GB2312"/>
          <w:color w:val="auto"/>
          <w:kern w:val="0"/>
          <w:highlight w:val="none"/>
          <w:lang w:val="en-US" w:eastAsia="zh-CN"/>
        </w:rPr>
        <w:t>（二）附件材料</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640" w:firstLineChars="200"/>
        <w:jc w:val="both"/>
        <w:rPr>
          <w:rFonts w:hint="eastAsia" w:ascii="仿宋_GB2312" w:hAnsi="仿宋_GB2312" w:eastAsia="仿宋_GB2312" w:cs="仿宋_GB2312"/>
          <w:color w:val="auto"/>
          <w:kern w:val="0"/>
          <w:highlight w:val="none"/>
          <w:lang w:val="en-US" w:eastAsia="zh-CN"/>
        </w:rPr>
      </w:pPr>
      <w:r>
        <w:rPr>
          <w:rFonts w:hint="eastAsia" w:ascii="仿宋_GB2312" w:hAnsi="仿宋_GB2312" w:eastAsia="仿宋_GB2312" w:cs="仿宋_GB2312"/>
          <w:color w:val="auto"/>
          <w:kern w:val="0"/>
          <w:highlight w:val="none"/>
          <w:lang w:val="en-US" w:eastAsia="zh-CN"/>
        </w:rPr>
        <w:t>1.项目申报书及佐证材料。不同项目类型应使用对应的项目申报书，</w:t>
      </w:r>
      <w:r>
        <w:rPr>
          <w:rFonts w:hint="eastAsia" w:ascii="仿宋_GB2312" w:hAnsi="仿宋_GB2312" w:eastAsia="仿宋_GB2312" w:cs="仿宋_GB2312"/>
          <w:b w:val="0"/>
          <w:bCs w:val="0"/>
          <w:color w:val="auto"/>
          <w:kern w:val="0"/>
          <w:highlight w:val="none"/>
          <w:lang w:val="en-US" w:eastAsia="zh-CN"/>
        </w:rPr>
        <w:t>其中：</w:t>
      </w:r>
      <w:r>
        <w:rPr>
          <w:rFonts w:hint="eastAsia" w:ascii="仿宋_GB2312" w:hAnsi="仿宋_GB2312" w:eastAsia="仿宋_GB2312" w:cs="仿宋_GB2312"/>
          <w:color w:val="auto"/>
          <w:kern w:val="0"/>
          <w:highlight w:val="none"/>
          <w:lang w:val="en-US" w:eastAsia="zh-CN"/>
        </w:rPr>
        <w:t>高标准农田建设项目适用于高标准农田建设项目申报书模板</w:t>
      </w:r>
      <w:r>
        <w:rPr>
          <w:rFonts w:hint="eastAsia" w:ascii="仿宋_GB2312" w:hAnsi="仿宋_GB2312" w:cs="仿宋_GB2312"/>
          <w:color w:val="auto"/>
          <w:kern w:val="0"/>
          <w:highlight w:val="none"/>
          <w:lang w:val="en-US" w:eastAsia="zh-CN"/>
        </w:rPr>
        <w:t>，</w:t>
      </w:r>
      <w:r>
        <w:rPr>
          <w:rFonts w:hint="eastAsia" w:ascii="仿宋_GB2312" w:hAnsi="仿宋_GB2312" w:eastAsia="仿宋_GB2312" w:cs="仿宋_GB2312"/>
          <w:color w:val="auto"/>
          <w:kern w:val="0"/>
          <w:highlight w:val="none"/>
          <w:lang w:val="en-US" w:eastAsia="zh-CN"/>
        </w:rPr>
        <w:t>详见附件</w:t>
      </w:r>
      <w:r>
        <w:rPr>
          <w:rFonts w:hint="eastAsia" w:ascii="仿宋_GB2312" w:hAnsi="仿宋_GB2312" w:cs="仿宋_GB2312"/>
          <w:color w:val="auto"/>
          <w:kern w:val="0"/>
          <w:highlight w:val="none"/>
          <w:lang w:val="en-US" w:eastAsia="zh-CN"/>
        </w:rPr>
        <w:t>5</w:t>
      </w:r>
      <w:r>
        <w:rPr>
          <w:rFonts w:hint="eastAsia" w:ascii="仿宋_GB2312" w:hAnsi="仿宋_GB2312" w:eastAsia="仿宋_GB2312" w:cs="仿宋_GB2312"/>
          <w:color w:val="auto"/>
          <w:kern w:val="0"/>
          <w:highlight w:val="none"/>
          <w:lang w:val="en-US" w:eastAsia="zh-CN"/>
        </w:rPr>
        <w:t>-1；现代种业提升工程项目适用于现代种业提升建设工程类项目申报书模板</w:t>
      </w:r>
      <w:r>
        <w:rPr>
          <w:rFonts w:hint="eastAsia" w:ascii="仿宋_GB2312" w:hAnsi="仿宋_GB2312" w:cs="仿宋_GB2312"/>
          <w:color w:val="auto"/>
          <w:kern w:val="0"/>
          <w:highlight w:val="none"/>
          <w:lang w:val="en-US" w:eastAsia="zh-CN"/>
        </w:rPr>
        <w:t>，</w:t>
      </w:r>
      <w:r>
        <w:rPr>
          <w:rFonts w:hint="eastAsia" w:ascii="仿宋_GB2312" w:hAnsi="仿宋_GB2312" w:eastAsia="仿宋_GB2312" w:cs="仿宋_GB2312"/>
          <w:color w:val="auto"/>
          <w:kern w:val="0"/>
          <w:highlight w:val="none"/>
          <w:lang w:val="en-US" w:eastAsia="zh-CN"/>
        </w:rPr>
        <w:t>详见附件</w:t>
      </w:r>
      <w:r>
        <w:rPr>
          <w:rFonts w:hint="eastAsia" w:ascii="仿宋_GB2312" w:hAnsi="仿宋_GB2312" w:cs="仿宋_GB2312"/>
          <w:color w:val="auto"/>
          <w:kern w:val="0"/>
          <w:highlight w:val="none"/>
          <w:lang w:val="en-US" w:eastAsia="zh-CN"/>
        </w:rPr>
        <w:t>5</w:t>
      </w:r>
      <w:r>
        <w:rPr>
          <w:rFonts w:hint="eastAsia" w:ascii="仿宋_GB2312" w:hAnsi="仿宋_GB2312" w:eastAsia="仿宋_GB2312" w:cs="仿宋_GB2312"/>
          <w:color w:val="auto"/>
          <w:kern w:val="0"/>
          <w:highlight w:val="none"/>
          <w:lang w:val="en-US" w:eastAsia="zh-CN"/>
        </w:rPr>
        <w:t>-2；动植物保护能力提升工程项目适用于</w:t>
      </w:r>
      <w:r>
        <w:rPr>
          <w:rFonts w:hint="eastAsia" w:ascii="仿宋_GB2312" w:hAnsi="仿宋_GB2312" w:eastAsia="仿宋_GB2312" w:cs="仿宋_GB2312"/>
          <w:b w:val="0"/>
          <w:bCs w:val="0"/>
          <w:color w:val="auto"/>
          <w:kern w:val="0"/>
          <w:highlight w:val="none"/>
          <w:lang w:val="en-US" w:eastAsia="zh-CN"/>
        </w:rPr>
        <w:t>农业监测检测和检测项目申报书模板和农业科技创新能力条件提升（重点实验室）建设工程类项目申报书模板</w:t>
      </w:r>
      <w:r>
        <w:rPr>
          <w:rFonts w:hint="eastAsia" w:ascii="仿宋_GB2312" w:hAnsi="仿宋_GB2312" w:cs="仿宋_GB2312"/>
          <w:b w:val="0"/>
          <w:bCs w:val="0"/>
          <w:color w:val="auto"/>
          <w:kern w:val="0"/>
          <w:highlight w:val="none"/>
          <w:lang w:val="en-US" w:eastAsia="zh-CN"/>
        </w:rPr>
        <w:t>，</w:t>
      </w:r>
      <w:r>
        <w:rPr>
          <w:rFonts w:hint="eastAsia" w:ascii="仿宋_GB2312" w:hAnsi="仿宋_GB2312" w:eastAsia="仿宋_GB2312" w:cs="仿宋_GB2312"/>
          <w:b w:val="0"/>
          <w:bCs w:val="0"/>
          <w:color w:val="auto"/>
          <w:kern w:val="0"/>
          <w:highlight w:val="none"/>
          <w:lang w:val="en-US" w:eastAsia="zh-CN"/>
        </w:rPr>
        <w:t>详见附件</w:t>
      </w:r>
      <w:r>
        <w:rPr>
          <w:rFonts w:hint="eastAsia" w:ascii="仿宋_GB2312" w:hAnsi="仿宋_GB2312" w:cs="仿宋_GB2312"/>
          <w:b w:val="0"/>
          <w:bCs w:val="0"/>
          <w:color w:val="auto"/>
          <w:kern w:val="0"/>
          <w:highlight w:val="none"/>
          <w:lang w:val="en-US" w:eastAsia="zh-CN"/>
        </w:rPr>
        <w:t>5</w:t>
      </w:r>
      <w:r>
        <w:rPr>
          <w:rFonts w:hint="eastAsia" w:ascii="仿宋_GB2312" w:hAnsi="仿宋_GB2312" w:eastAsia="仿宋_GB2312" w:cs="仿宋_GB2312"/>
          <w:b w:val="0"/>
          <w:bCs w:val="0"/>
          <w:color w:val="auto"/>
          <w:kern w:val="0"/>
          <w:highlight w:val="none"/>
          <w:lang w:val="en-US" w:eastAsia="zh-CN"/>
        </w:rPr>
        <w:t>-3和</w:t>
      </w:r>
      <w:r>
        <w:rPr>
          <w:rFonts w:hint="eastAsia" w:ascii="仿宋_GB2312" w:hAnsi="仿宋_GB2312" w:cs="仿宋_GB2312"/>
          <w:b w:val="0"/>
          <w:bCs w:val="0"/>
          <w:color w:val="auto"/>
          <w:kern w:val="0"/>
          <w:highlight w:val="none"/>
          <w:lang w:val="en-US" w:eastAsia="zh-CN"/>
        </w:rPr>
        <w:t>5</w:t>
      </w:r>
      <w:r>
        <w:rPr>
          <w:rFonts w:hint="eastAsia" w:ascii="仿宋_GB2312" w:hAnsi="仿宋_GB2312" w:eastAsia="仿宋_GB2312" w:cs="仿宋_GB2312"/>
          <w:b w:val="0"/>
          <w:bCs w:val="0"/>
          <w:color w:val="auto"/>
          <w:kern w:val="0"/>
          <w:highlight w:val="none"/>
          <w:lang w:val="en-US" w:eastAsia="zh-CN"/>
        </w:rPr>
        <w:t>-5；畜禽粪污资源化利用整县推进项目适用于</w:t>
      </w:r>
      <w:r>
        <w:rPr>
          <w:rFonts w:hint="eastAsia" w:ascii="仿宋_GB2312" w:hAnsi="仿宋_GB2312" w:eastAsia="仿宋_GB2312" w:cs="仿宋_GB2312"/>
          <w:b w:val="0"/>
          <w:bCs w:val="0"/>
          <w:color w:val="auto"/>
          <w:kern w:val="0"/>
          <w:sz w:val="32"/>
          <w:szCs w:val="32"/>
          <w:highlight w:val="none"/>
          <w:lang w:val="en-US" w:eastAsia="zh-CN"/>
        </w:rPr>
        <w:t>现代农业产业发展项目申报书模板</w:t>
      </w:r>
      <w:r>
        <w:rPr>
          <w:rFonts w:hint="eastAsia" w:ascii="仿宋_GB2312" w:hAnsi="仿宋_GB2312" w:cs="仿宋_GB2312"/>
          <w:b w:val="0"/>
          <w:bCs w:val="0"/>
          <w:color w:val="auto"/>
          <w:kern w:val="0"/>
          <w:sz w:val="32"/>
          <w:szCs w:val="32"/>
          <w:highlight w:val="none"/>
          <w:lang w:val="en-US" w:eastAsia="zh-CN"/>
        </w:rPr>
        <w:t>，</w:t>
      </w:r>
      <w:r>
        <w:rPr>
          <w:rFonts w:hint="eastAsia" w:ascii="仿宋_GB2312" w:hAnsi="仿宋_GB2312" w:eastAsia="仿宋_GB2312" w:cs="仿宋_GB2312"/>
          <w:b w:val="0"/>
          <w:bCs w:val="0"/>
          <w:color w:val="auto"/>
          <w:kern w:val="0"/>
          <w:highlight w:val="none"/>
          <w:lang w:val="en-US" w:eastAsia="zh-CN"/>
        </w:rPr>
        <w:t>详见附件</w:t>
      </w:r>
      <w:r>
        <w:rPr>
          <w:rFonts w:hint="eastAsia" w:ascii="仿宋_GB2312" w:hAnsi="仿宋_GB2312" w:cs="仿宋_GB2312"/>
          <w:b w:val="0"/>
          <w:bCs w:val="0"/>
          <w:color w:val="auto"/>
          <w:kern w:val="0"/>
          <w:highlight w:val="none"/>
          <w:lang w:val="en-US" w:eastAsia="zh-CN"/>
        </w:rPr>
        <w:t>5</w:t>
      </w:r>
      <w:r>
        <w:rPr>
          <w:rFonts w:hint="eastAsia" w:ascii="仿宋_GB2312" w:hAnsi="仿宋_GB2312" w:eastAsia="仿宋_GB2312" w:cs="仿宋_GB2312"/>
          <w:b w:val="0"/>
          <w:bCs w:val="0"/>
          <w:color w:val="auto"/>
          <w:kern w:val="0"/>
          <w:highlight w:val="none"/>
          <w:lang w:val="en-US" w:eastAsia="zh-CN"/>
        </w:rPr>
        <w:t>-4；农业科技创新能力条件建设项目适用于</w:t>
      </w:r>
      <w:r>
        <w:rPr>
          <w:rFonts w:hint="eastAsia" w:ascii="仿宋_GB2312" w:hAnsi="仿宋_GB2312" w:eastAsia="仿宋_GB2312" w:cs="仿宋_GB2312"/>
          <w:b w:val="0"/>
          <w:bCs w:val="0"/>
          <w:color w:val="auto"/>
          <w:kern w:val="0"/>
          <w:sz w:val="32"/>
          <w:szCs w:val="32"/>
          <w:highlight w:val="none"/>
          <w:lang w:val="en-US" w:eastAsia="zh-CN"/>
        </w:rPr>
        <w:t>农业科技创新能力条件提升（重点实验室）建设工程类项目申报书模板</w:t>
      </w:r>
      <w:r>
        <w:rPr>
          <w:rFonts w:hint="eastAsia" w:ascii="仿宋_GB2312" w:hAnsi="仿宋_GB2312" w:cs="仿宋_GB2312"/>
          <w:b w:val="0"/>
          <w:bCs w:val="0"/>
          <w:color w:val="auto"/>
          <w:kern w:val="0"/>
          <w:sz w:val="32"/>
          <w:szCs w:val="32"/>
          <w:highlight w:val="none"/>
          <w:lang w:val="en-US" w:eastAsia="zh-CN"/>
        </w:rPr>
        <w:t>，</w:t>
      </w:r>
      <w:r>
        <w:rPr>
          <w:rFonts w:hint="eastAsia" w:ascii="仿宋_GB2312" w:hAnsi="仿宋_GB2312" w:eastAsia="仿宋_GB2312" w:cs="仿宋_GB2312"/>
          <w:b w:val="0"/>
          <w:bCs w:val="0"/>
          <w:color w:val="auto"/>
          <w:kern w:val="0"/>
          <w:highlight w:val="none"/>
          <w:lang w:val="en-US" w:eastAsia="zh-CN"/>
        </w:rPr>
        <w:t>详见附件</w:t>
      </w:r>
      <w:r>
        <w:rPr>
          <w:rFonts w:hint="eastAsia" w:ascii="仿宋_GB2312" w:hAnsi="仿宋_GB2312" w:cs="仿宋_GB2312"/>
          <w:b w:val="0"/>
          <w:bCs w:val="0"/>
          <w:color w:val="auto"/>
          <w:kern w:val="0"/>
          <w:highlight w:val="none"/>
          <w:lang w:val="en-US" w:eastAsia="zh-CN"/>
        </w:rPr>
        <w:t>5</w:t>
      </w:r>
      <w:r>
        <w:rPr>
          <w:rFonts w:hint="eastAsia" w:ascii="仿宋_GB2312" w:hAnsi="仿宋_GB2312" w:eastAsia="仿宋_GB2312" w:cs="仿宋_GB2312"/>
          <w:b w:val="0"/>
          <w:bCs w:val="0"/>
          <w:color w:val="auto"/>
          <w:kern w:val="0"/>
          <w:highlight w:val="none"/>
          <w:lang w:val="en-US" w:eastAsia="zh-CN"/>
        </w:rPr>
        <w:t>-5；数字农业建设项目适用于</w:t>
      </w:r>
      <w:r>
        <w:rPr>
          <w:rFonts w:hint="eastAsia" w:ascii="仿宋_GB2312" w:hAnsi="仿宋_GB2312" w:eastAsia="仿宋_GB2312" w:cs="仿宋_GB2312"/>
          <w:b w:val="0"/>
          <w:bCs w:val="0"/>
          <w:color w:val="auto"/>
          <w:kern w:val="0"/>
          <w:sz w:val="32"/>
          <w:szCs w:val="32"/>
          <w:highlight w:val="none"/>
          <w:lang w:val="en-US" w:eastAsia="zh-CN"/>
        </w:rPr>
        <w:t>现代农业产业发展项目申报书模板</w:t>
      </w:r>
      <w:r>
        <w:rPr>
          <w:rFonts w:hint="eastAsia" w:ascii="仿宋_GB2312" w:hAnsi="仿宋_GB2312" w:cs="仿宋_GB2312"/>
          <w:b w:val="0"/>
          <w:bCs w:val="0"/>
          <w:color w:val="auto"/>
          <w:kern w:val="0"/>
          <w:sz w:val="32"/>
          <w:szCs w:val="32"/>
          <w:highlight w:val="none"/>
          <w:lang w:val="en-US" w:eastAsia="zh-CN"/>
        </w:rPr>
        <w:t>，</w:t>
      </w:r>
      <w:r>
        <w:rPr>
          <w:rFonts w:hint="eastAsia" w:ascii="仿宋_GB2312" w:hAnsi="仿宋_GB2312" w:eastAsia="仿宋_GB2312" w:cs="仿宋_GB2312"/>
          <w:b w:val="0"/>
          <w:bCs w:val="0"/>
          <w:color w:val="auto"/>
          <w:kern w:val="0"/>
          <w:highlight w:val="none"/>
          <w:lang w:val="en-US" w:eastAsia="zh-CN"/>
        </w:rPr>
        <w:t>详见附件</w:t>
      </w:r>
      <w:r>
        <w:rPr>
          <w:rFonts w:hint="eastAsia" w:ascii="仿宋_GB2312" w:hAnsi="仿宋_GB2312" w:cs="仿宋_GB2312"/>
          <w:b w:val="0"/>
          <w:bCs w:val="0"/>
          <w:color w:val="auto"/>
          <w:kern w:val="0"/>
          <w:highlight w:val="none"/>
          <w:lang w:val="en-US" w:eastAsia="zh-CN"/>
        </w:rPr>
        <w:t>5</w:t>
      </w:r>
      <w:r>
        <w:rPr>
          <w:rFonts w:hint="eastAsia" w:ascii="仿宋_GB2312" w:hAnsi="仿宋_GB2312" w:eastAsia="仿宋_GB2312" w:cs="仿宋_GB2312"/>
          <w:b w:val="0"/>
          <w:bCs w:val="0"/>
          <w:color w:val="auto"/>
          <w:kern w:val="0"/>
          <w:highlight w:val="none"/>
          <w:lang w:val="en-US" w:eastAsia="zh-CN"/>
        </w:rPr>
        <w:t>-4。</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640" w:firstLineChars="200"/>
        <w:jc w:val="both"/>
        <w:rPr>
          <w:rFonts w:hint="eastAsia" w:ascii="仿宋_GB2312" w:hAnsi="仿宋_GB2312" w:eastAsia="仿宋_GB2312" w:cs="仿宋_GB2312"/>
          <w:color w:val="auto"/>
          <w:kern w:val="0"/>
          <w:highlight w:val="none"/>
          <w:lang w:val="en-US" w:eastAsia="zh-CN"/>
        </w:rPr>
      </w:pPr>
      <w:r>
        <w:rPr>
          <w:rFonts w:hint="eastAsia" w:ascii="仿宋_GB2312" w:hAnsi="仿宋_GB2312" w:eastAsia="仿宋_GB2312" w:cs="仿宋_GB2312"/>
          <w:color w:val="auto"/>
          <w:kern w:val="0"/>
          <w:highlight w:val="none"/>
          <w:lang w:val="en-US" w:eastAsia="zh-CN"/>
        </w:rPr>
        <w:t>2.填写《投资需求申请表（样表）》和《绩效目标表（样表）》（见附件2、3）。</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640" w:firstLineChars="200"/>
        <w:jc w:val="both"/>
        <w:rPr>
          <w:rFonts w:hint="eastAsia" w:ascii="仿宋_GB2312" w:hAnsi="仿宋_GB2312" w:eastAsia="仿宋_GB2312" w:cs="仿宋_GB2312"/>
          <w:color w:val="auto"/>
          <w:kern w:val="0"/>
          <w:highlight w:val="none"/>
          <w:lang w:val="en-US" w:eastAsia="zh-CN"/>
        </w:rPr>
      </w:pPr>
      <w:r>
        <w:rPr>
          <w:rFonts w:hint="eastAsia" w:ascii="仿宋_GB2312" w:hAnsi="仿宋_GB2312" w:eastAsia="仿宋_GB2312" w:cs="仿宋_GB2312"/>
          <w:color w:val="auto"/>
          <w:kern w:val="0"/>
          <w:highlight w:val="none"/>
          <w:lang w:val="en-US" w:eastAsia="zh-CN"/>
        </w:rPr>
        <w:t>3.经市级农业农村部门审核后出具的项目入库审核意见表（见附件</w:t>
      </w:r>
      <w:r>
        <w:rPr>
          <w:rFonts w:hint="eastAsia" w:ascii="仿宋_GB2312" w:hAnsi="仿宋_GB2312" w:cs="仿宋_GB2312"/>
          <w:color w:val="auto"/>
          <w:kern w:val="0"/>
          <w:highlight w:val="none"/>
          <w:lang w:val="en-US" w:eastAsia="zh-CN"/>
        </w:rPr>
        <w:t>4</w:t>
      </w:r>
      <w:r>
        <w:rPr>
          <w:rFonts w:hint="eastAsia" w:ascii="仿宋_GB2312" w:hAnsi="仿宋_GB2312" w:eastAsia="仿宋_GB2312" w:cs="仿宋_GB2312"/>
          <w:color w:val="auto"/>
          <w:kern w:val="0"/>
          <w:highlight w:val="none"/>
          <w:lang w:val="en-US" w:eastAsia="zh-CN"/>
        </w:rPr>
        <w:t>），请市级农业农村部门组织好县（市、区）农业农村部门项目申报。</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640" w:firstLineChars="200"/>
        <w:jc w:val="both"/>
        <w:rPr>
          <w:rFonts w:hint="eastAsia" w:ascii="仿宋_GB2312" w:hAnsi="仿宋_GB2312" w:eastAsia="仿宋_GB2312" w:cs="仿宋_GB2312"/>
          <w:color w:val="auto"/>
          <w:kern w:val="0"/>
          <w:highlight w:val="none"/>
          <w:lang w:val="en-US" w:eastAsia="zh-CN"/>
        </w:rPr>
      </w:pPr>
      <w:r>
        <w:rPr>
          <w:rFonts w:hint="eastAsia" w:ascii="仿宋_GB2312" w:hAnsi="仿宋_GB2312" w:eastAsia="仿宋_GB2312" w:cs="仿宋_GB2312"/>
          <w:color w:val="auto"/>
          <w:kern w:val="0"/>
          <w:highlight w:val="none"/>
          <w:lang w:val="en-US" w:eastAsia="zh-CN"/>
        </w:rPr>
        <w:t>4.其他佐证材料</w:t>
      </w:r>
      <w:r>
        <w:rPr>
          <w:rFonts w:hint="eastAsia" w:ascii="仿宋_GB2312" w:hAnsi="仿宋_GB2312" w:cs="仿宋_GB2312"/>
          <w:color w:val="auto"/>
          <w:kern w:val="0"/>
          <w:highlight w:val="none"/>
          <w:lang w:val="en-US" w:eastAsia="zh-CN"/>
        </w:rPr>
        <w:t>（包含自筹资金承诺函）</w:t>
      </w:r>
      <w:r>
        <w:rPr>
          <w:rFonts w:hint="eastAsia" w:ascii="仿宋_GB2312" w:hAnsi="仿宋_GB2312" w:eastAsia="仿宋_GB2312" w:cs="仿宋_GB2312"/>
          <w:color w:val="auto"/>
          <w:kern w:val="0"/>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after="0" w:line="568" w:lineRule="exact"/>
        <w:ind w:left="0" w:leftChars="0" w:right="0" w:firstLine="640" w:firstLineChars="200"/>
        <w:jc w:val="both"/>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5.高标准农田建设项目按要求报送纸质版申报文件，将电子版申报文件和附件上传到农业</w:t>
      </w:r>
      <w:r>
        <w:rPr>
          <w:rFonts w:hint="eastAsia" w:ascii="仿宋_GB2312" w:hAnsi="仿宋_GB2312" w:cs="仿宋_GB2312"/>
          <w:color w:val="auto"/>
          <w:kern w:val="0"/>
          <w:sz w:val="32"/>
          <w:szCs w:val="32"/>
          <w:highlight w:val="none"/>
          <w:lang w:val="en-US" w:eastAsia="zh-CN" w:bidi="ar-SA"/>
        </w:rPr>
        <w:t>农村投资</w:t>
      </w:r>
      <w:r>
        <w:rPr>
          <w:rFonts w:hint="eastAsia" w:ascii="仿宋_GB2312" w:hAnsi="仿宋_GB2312" w:eastAsia="仿宋_GB2312" w:cs="仿宋_GB2312"/>
          <w:color w:val="auto"/>
          <w:kern w:val="0"/>
          <w:sz w:val="32"/>
          <w:szCs w:val="32"/>
          <w:highlight w:val="none"/>
          <w:lang w:val="en-US" w:eastAsia="zh-CN" w:bidi="ar-SA"/>
        </w:rPr>
        <w:t>项目管理平台。</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640" w:firstLineChars="200"/>
        <w:jc w:val="both"/>
        <w:rPr>
          <w:rFonts w:hint="eastAsia" w:ascii="楷体_GB2312" w:hAnsi="楷体_GB2312" w:eastAsia="楷体_GB2312" w:cs="楷体_GB2312"/>
          <w:color w:val="auto"/>
          <w:kern w:val="0"/>
          <w:highlight w:val="none"/>
          <w:lang w:val="en-US" w:eastAsia="zh-CN"/>
        </w:rPr>
      </w:pPr>
      <w:r>
        <w:rPr>
          <w:rFonts w:hint="eastAsia" w:ascii="楷体_GB2312" w:hAnsi="楷体_GB2312" w:eastAsia="楷体_GB2312" w:cs="楷体_GB2312"/>
          <w:color w:val="auto"/>
          <w:kern w:val="0"/>
          <w:highlight w:val="none"/>
          <w:lang w:val="en-US" w:eastAsia="zh-CN"/>
        </w:rPr>
        <w:t>（三）材料真实性要求</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640" w:firstLineChars="200"/>
        <w:jc w:val="both"/>
        <w:rPr>
          <w:rFonts w:hint="eastAsia" w:ascii="仿宋_GB2312" w:hAnsi="仿宋_GB2312" w:eastAsia="仿宋_GB2312" w:cs="仿宋_GB2312"/>
          <w:color w:val="auto"/>
          <w:kern w:val="0"/>
          <w:highlight w:val="none"/>
          <w:lang w:val="en-US" w:eastAsia="zh-CN"/>
        </w:rPr>
      </w:pPr>
      <w:r>
        <w:rPr>
          <w:rFonts w:hint="eastAsia" w:ascii="仿宋_GB2312" w:hAnsi="仿宋_GB2312" w:eastAsia="仿宋_GB2312" w:cs="仿宋_GB2312"/>
          <w:color w:val="auto"/>
          <w:kern w:val="0"/>
          <w:highlight w:val="none"/>
          <w:lang w:val="en-US" w:eastAsia="zh-CN"/>
        </w:rPr>
        <w:t>各</w:t>
      </w:r>
      <w:r>
        <w:rPr>
          <w:rFonts w:hint="eastAsia" w:ascii="仿宋_GB2312" w:hAnsi="仿宋_GB2312" w:cs="仿宋_GB2312"/>
          <w:color w:val="auto"/>
          <w:kern w:val="0"/>
          <w:highlight w:val="none"/>
          <w:lang w:val="en-US" w:eastAsia="zh-CN"/>
        </w:rPr>
        <w:t>地级以上</w:t>
      </w:r>
      <w:r>
        <w:rPr>
          <w:rFonts w:hint="eastAsia" w:ascii="仿宋_GB2312" w:hAnsi="仿宋_GB2312" w:eastAsia="仿宋_GB2312" w:cs="仿宋_GB2312"/>
          <w:color w:val="auto"/>
          <w:kern w:val="0"/>
          <w:highlight w:val="none"/>
          <w:lang w:val="en-US" w:eastAsia="zh-CN"/>
        </w:rPr>
        <w:t>市</w:t>
      </w:r>
      <w:r>
        <w:rPr>
          <w:rFonts w:hint="eastAsia" w:ascii="仿宋_GB2312" w:hAnsi="仿宋_GB2312" w:cs="仿宋_GB2312"/>
          <w:color w:val="auto"/>
          <w:kern w:val="0"/>
          <w:highlight w:val="none"/>
          <w:lang w:val="en-US" w:eastAsia="zh-CN"/>
        </w:rPr>
        <w:t>农业农村部门负责</w:t>
      </w:r>
      <w:r>
        <w:rPr>
          <w:rFonts w:hint="eastAsia" w:ascii="仿宋_GB2312" w:hAnsi="仿宋_GB2312" w:eastAsia="仿宋_GB2312" w:cs="仿宋_GB2312"/>
          <w:color w:val="auto"/>
          <w:kern w:val="0"/>
          <w:highlight w:val="none"/>
          <w:lang w:val="en-US" w:eastAsia="zh-CN"/>
        </w:rPr>
        <w:t>申报材料的审核把关工作，出具审核意见表，对申报材料的真实性负责</w:t>
      </w:r>
      <w:r>
        <w:rPr>
          <w:rFonts w:hint="eastAsia" w:ascii="仿宋_GB2312" w:hAnsi="仿宋_GB2312" w:cs="仿宋_GB2312"/>
          <w:color w:val="auto"/>
          <w:kern w:val="0"/>
          <w:highlight w:val="none"/>
          <w:lang w:val="en-US" w:eastAsia="zh-CN"/>
        </w:rPr>
        <w:t>，防止虚假申报、重复申报。</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640" w:firstLineChars="200"/>
        <w:jc w:val="both"/>
        <w:rPr>
          <w:rFonts w:hint="eastAsia" w:ascii="楷体_GB2312" w:hAnsi="楷体_GB2312" w:eastAsia="楷体_GB2312" w:cs="楷体_GB2312"/>
          <w:color w:val="auto"/>
          <w:kern w:val="0"/>
          <w:highlight w:val="none"/>
          <w:lang w:val="en-US" w:eastAsia="zh-CN"/>
        </w:rPr>
      </w:pPr>
      <w:r>
        <w:rPr>
          <w:rFonts w:hint="eastAsia" w:ascii="楷体_GB2312" w:hAnsi="楷体_GB2312" w:eastAsia="楷体_GB2312" w:cs="楷体_GB2312"/>
          <w:color w:val="auto"/>
          <w:kern w:val="0"/>
          <w:highlight w:val="none"/>
          <w:lang w:val="en-US" w:eastAsia="zh-CN"/>
        </w:rPr>
        <w:t>（四）装订要求</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640" w:firstLineChars="200"/>
        <w:jc w:val="both"/>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eastAsia="仿宋_GB2312" w:cs="仿宋_GB2312"/>
          <w:b w:val="0"/>
          <w:color w:val="auto"/>
          <w:kern w:val="0"/>
          <w:sz w:val="32"/>
          <w:szCs w:val="24"/>
          <w:highlight w:val="none"/>
          <w:lang w:val="en-US" w:eastAsia="zh-CN" w:bidi="ar-SA"/>
        </w:rPr>
        <w:t>报送文件正文和附件合并装订。A4皮纹纸装订（须含目录、页码，内容清晰），并在书脊位置注明项目名。</w:t>
      </w:r>
    </w:p>
    <w:p>
      <w:pPr>
        <w:keepNext w:val="0"/>
        <w:keepLines w:val="0"/>
        <w:pageBreakBefore w:val="0"/>
        <w:widowControl w:val="0"/>
        <w:kinsoku/>
        <w:wordWrap/>
        <w:overflowPunct/>
        <w:topLinePunct w:val="0"/>
        <w:autoSpaceDE/>
        <w:autoSpaceDN/>
        <w:bidi w:val="0"/>
        <w:adjustRightInd w:val="0"/>
        <w:snapToGrid w:val="0"/>
        <w:spacing w:before="0" w:after="0" w:line="568" w:lineRule="exact"/>
        <w:ind w:left="0" w:leftChars="0" w:right="0" w:firstLine="640" w:firstLineChars="200"/>
        <w:jc w:val="both"/>
        <w:outlineLvl w:val="9"/>
        <w:rPr>
          <w:rFonts w:hint="eastAsia" w:ascii="黑体" w:hAnsi="黑体" w:eastAsia="黑体" w:cs="黑体"/>
          <w:color w:val="auto"/>
          <w:kern w:val="0"/>
          <w:highlight w:val="none"/>
          <w:lang w:val="en-US" w:eastAsia="zh-CN"/>
        </w:rPr>
      </w:pPr>
      <w:r>
        <w:rPr>
          <w:rFonts w:hint="eastAsia" w:ascii="黑体" w:hAnsi="黑体" w:eastAsia="黑体" w:cs="黑体"/>
          <w:color w:val="auto"/>
          <w:kern w:val="0"/>
          <w:highlight w:val="none"/>
          <w:lang w:val="en-US" w:eastAsia="zh-CN"/>
        </w:rPr>
        <w:t>四、报送要求</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640" w:firstLineChars="200"/>
        <w:jc w:val="both"/>
        <w:rPr>
          <w:rFonts w:hint="eastAsia" w:ascii="仿宋_GB2312" w:hAnsi="仿宋_GB2312" w:eastAsia="仿宋_GB2312" w:cs="仿宋_GB2312"/>
          <w:color w:val="auto"/>
          <w:kern w:val="0"/>
          <w:highlight w:val="none"/>
          <w:lang w:val="en-US" w:eastAsia="zh-CN"/>
        </w:rPr>
      </w:pPr>
      <w:r>
        <w:rPr>
          <w:rFonts w:hint="eastAsia" w:ascii="楷体_GB2312" w:hAnsi="楷体_GB2312" w:eastAsia="楷体_GB2312" w:cs="楷体_GB2312"/>
          <w:color w:val="auto"/>
          <w:kern w:val="0"/>
          <w:highlight w:val="none"/>
          <w:lang w:val="en-US" w:eastAsia="zh-CN"/>
        </w:rPr>
        <w:t>（一）系统申报。</w:t>
      </w:r>
      <w:r>
        <w:rPr>
          <w:rFonts w:hint="eastAsia" w:ascii="仿宋_GB2312" w:hAnsi="仿宋_GB2312" w:eastAsia="仿宋_GB2312" w:cs="仿宋_GB2312"/>
          <w:color w:val="auto"/>
          <w:kern w:val="0"/>
          <w:highlight w:val="none"/>
          <w:lang w:val="en-US" w:eastAsia="zh-CN"/>
        </w:rPr>
        <w:t>市</w:t>
      </w:r>
      <w:r>
        <w:rPr>
          <w:rFonts w:hint="eastAsia" w:ascii="仿宋_GB2312" w:hAnsi="仿宋_GB2312" w:cs="仿宋_GB2312"/>
          <w:color w:val="auto"/>
          <w:kern w:val="0"/>
          <w:highlight w:val="none"/>
          <w:lang w:val="en-US" w:eastAsia="zh-CN"/>
        </w:rPr>
        <w:t>、</w:t>
      </w:r>
      <w:r>
        <w:rPr>
          <w:rFonts w:hint="eastAsia" w:ascii="仿宋_GB2312" w:hAnsi="仿宋_GB2312" w:eastAsia="仿宋_GB2312" w:cs="仿宋_GB2312"/>
          <w:color w:val="auto"/>
          <w:kern w:val="0"/>
          <w:highlight w:val="none"/>
          <w:lang w:val="en-US" w:eastAsia="zh-CN"/>
        </w:rPr>
        <w:t>县</w:t>
      </w:r>
      <w:r>
        <w:rPr>
          <w:rFonts w:hint="eastAsia" w:ascii="仿宋_GB2312" w:hAnsi="仿宋_GB2312" w:cs="仿宋_GB2312"/>
          <w:color w:val="auto"/>
          <w:kern w:val="0"/>
          <w:highlight w:val="none"/>
          <w:lang w:val="en-US" w:eastAsia="zh-CN"/>
        </w:rPr>
        <w:t>（市、区）</w:t>
      </w:r>
      <w:r>
        <w:rPr>
          <w:rFonts w:hint="eastAsia" w:ascii="仿宋_GB2312" w:hAnsi="仿宋_GB2312" w:eastAsia="仿宋_GB2312" w:cs="仿宋_GB2312"/>
          <w:color w:val="auto"/>
          <w:kern w:val="0"/>
          <w:highlight w:val="none"/>
          <w:lang w:val="en-US" w:eastAsia="zh-CN"/>
        </w:rPr>
        <w:t>农业农村部门和项目单位必须在农业</w:t>
      </w:r>
      <w:r>
        <w:rPr>
          <w:rFonts w:hint="eastAsia" w:ascii="仿宋_GB2312" w:hAnsi="仿宋_GB2312" w:cs="仿宋_GB2312"/>
          <w:color w:val="auto"/>
          <w:kern w:val="0"/>
          <w:highlight w:val="none"/>
          <w:lang w:val="en-US" w:eastAsia="zh-CN"/>
        </w:rPr>
        <w:t>农村投资</w:t>
      </w:r>
      <w:r>
        <w:rPr>
          <w:rFonts w:hint="eastAsia" w:ascii="仿宋_GB2312" w:hAnsi="仿宋_GB2312" w:eastAsia="仿宋_GB2312" w:cs="仿宋_GB2312"/>
          <w:color w:val="auto"/>
          <w:kern w:val="0"/>
          <w:highlight w:val="none"/>
          <w:lang w:val="en-US" w:eastAsia="zh-CN"/>
        </w:rPr>
        <w:t>项目管理平台（https://acpmp.agri.cn）逐级开展项目储备工作，</w:t>
      </w:r>
      <w:r>
        <w:rPr>
          <w:rFonts w:hint="eastAsia" w:ascii="仿宋_GB2312" w:hAnsi="仿宋_GB2312" w:cs="仿宋_GB2312"/>
          <w:color w:val="auto"/>
          <w:kern w:val="0"/>
          <w:highlight w:val="none"/>
          <w:lang w:val="en-US" w:eastAsia="zh-CN"/>
        </w:rPr>
        <w:t>扎实开展项目前期工作，尽快将符合条</w:t>
      </w:r>
      <w:r>
        <w:rPr>
          <w:rFonts w:hint="eastAsia" w:ascii="仿宋_GB2312" w:hAnsi="仿宋_GB2312" w:cs="仿宋_GB2312"/>
          <w:snapToGrid w:val="0"/>
          <w:color w:val="auto"/>
          <w:spacing w:val="-6"/>
          <w:kern w:val="0"/>
          <w:highlight w:val="none"/>
          <w:lang w:val="en-US" w:eastAsia="zh-CN"/>
        </w:rPr>
        <w:t>件的项目纳入各级储备库。</w:t>
      </w:r>
      <w:r>
        <w:rPr>
          <w:rFonts w:hint="eastAsia" w:ascii="仿宋_GB2312" w:hAnsi="仿宋_GB2312" w:eastAsia="仿宋_GB2312" w:cs="仿宋_GB2312"/>
          <w:snapToGrid w:val="0"/>
          <w:color w:val="auto"/>
          <w:spacing w:val="-6"/>
          <w:kern w:val="0"/>
          <w:highlight w:val="none"/>
          <w:lang w:val="en-US" w:eastAsia="zh-CN"/>
        </w:rPr>
        <w:t>网上申报截止时间为202</w:t>
      </w:r>
      <w:r>
        <w:rPr>
          <w:rFonts w:hint="eastAsia" w:ascii="仿宋_GB2312" w:hAnsi="仿宋_GB2312" w:cs="仿宋_GB2312"/>
          <w:snapToGrid w:val="0"/>
          <w:color w:val="auto"/>
          <w:spacing w:val="-6"/>
          <w:kern w:val="0"/>
          <w:highlight w:val="none"/>
          <w:lang w:val="en-US" w:eastAsia="zh-CN"/>
        </w:rPr>
        <w:t>4</w:t>
      </w:r>
      <w:r>
        <w:rPr>
          <w:rFonts w:hint="eastAsia" w:ascii="仿宋_GB2312" w:hAnsi="仿宋_GB2312" w:eastAsia="仿宋_GB2312" w:cs="仿宋_GB2312"/>
          <w:snapToGrid w:val="0"/>
          <w:color w:val="auto"/>
          <w:spacing w:val="-6"/>
          <w:kern w:val="0"/>
          <w:highlight w:val="none"/>
          <w:lang w:val="en-US" w:eastAsia="zh-CN"/>
        </w:rPr>
        <w:t>年</w:t>
      </w:r>
      <w:r>
        <w:rPr>
          <w:rFonts w:hint="eastAsia" w:ascii="仿宋_GB2312" w:hAnsi="仿宋_GB2312" w:cs="仿宋_GB2312"/>
          <w:snapToGrid w:val="0"/>
          <w:color w:val="auto"/>
          <w:spacing w:val="-6"/>
          <w:kern w:val="0"/>
          <w:highlight w:val="none"/>
          <w:lang w:val="en-US" w:eastAsia="zh-CN"/>
        </w:rPr>
        <w:t>9</w:t>
      </w:r>
      <w:r>
        <w:rPr>
          <w:rFonts w:hint="eastAsia" w:ascii="仿宋_GB2312" w:hAnsi="仿宋_GB2312" w:eastAsia="仿宋_GB2312" w:cs="仿宋_GB2312"/>
          <w:snapToGrid w:val="0"/>
          <w:color w:val="auto"/>
          <w:spacing w:val="-6"/>
          <w:kern w:val="0"/>
          <w:highlight w:val="none"/>
          <w:lang w:val="en-US" w:eastAsia="zh-CN"/>
        </w:rPr>
        <w:t>月</w:t>
      </w:r>
      <w:r>
        <w:rPr>
          <w:rFonts w:hint="default" w:ascii="仿宋_GB2312" w:hAnsi="仿宋_GB2312" w:cs="仿宋_GB2312"/>
          <w:snapToGrid w:val="0"/>
          <w:color w:val="auto"/>
          <w:spacing w:val="-6"/>
          <w:kern w:val="0"/>
          <w:highlight w:val="none"/>
          <w:lang w:val="en-US" w:eastAsia="zh-CN"/>
        </w:rPr>
        <w:t>9</w:t>
      </w:r>
      <w:r>
        <w:rPr>
          <w:rFonts w:hint="eastAsia" w:ascii="仿宋_GB2312" w:hAnsi="仿宋_GB2312" w:eastAsia="仿宋_GB2312" w:cs="仿宋_GB2312"/>
          <w:snapToGrid w:val="0"/>
          <w:color w:val="auto"/>
          <w:spacing w:val="-6"/>
          <w:kern w:val="0"/>
          <w:highlight w:val="none"/>
          <w:lang w:val="en-US" w:eastAsia="zh-CN"/>
        </w:rPr>
        <w:t>日</w:t>
      </w:r>
      <w:r>
        <w:rPr>
          <w:rFonts w:hint="eastAsia" w:ascii="仿宋_GB2312" w:hAnsi="仿宋_GB2312" w:cs="仿宋_GB2312"/>
          <w:color w:val="auto"/>
          <w:kern w:val="0"/>
          <w:highlight w:val="none"/>
          <w:lang w:val="en-US" w:eastAsia="zh-CN"/>
        </w:rPr>
        <w:t>24</w:t>
      </w:r>
      <w:r>
        <w:rPr>
          <w:rFonts w:hint="eastAsia" w:ascii="仿宋_GB2312" w:hAnsi="仿宋_GB2312" w:eastAsia="仿宋_GB2312" w:cs="仿宋_GB2312"/>
          <w:color w:val="auto"/>
          <w:kern w:val="0"/>
          <w:highlight w:val="none"/>
          <w:lang w:val="en-US" w:eastAsia="zh-CN"/>
        </w:rPr>
        <w:t>:00。申请储备入库项目须同步在“全国投资项目在线审批监管平台”（http://www.tzxm.gov.cn/index.html）取得项目</w:t>
      </w:r>
      <w:r>
        <w:rPr>
          <w:rFonts w:hint="eastAsia" w:ascii="仿宋_GB2312" w:hAnsi="仿宋_GB2312" w:eastAsia="仿宋_GB2312" w:cs="仿宋_GB2312"/>
          <w:snapToGrid w:val="0"/>
          <w:color w:val="auto"/>
          <w:spacing w:val="-6"/>
          <w:kern w:val="0"/>
          <w:highlight w:val="none"/>
          <w:lang w:val="en-US" w:eastAsia="zh-CN"/>
        </w:rPr>
        <w:t>代码。</w:t>
      </w:r>
      <w:r>
        <w:rPr>
          <w:rFonts w:hint="eastAsia" w:ascii="仿宋_GB2312" w:hAnsi="仿宋_GB2312" w:cs="仿宋_GB2312"/>
          <w:snapToGrid w:val="0"/>
          <w:color w:val="auto"/>
          <w:spacing w:val="-6"/>
          <w:kern w:val="0"/>
          <w:highlight w:val="none"/>
          <w:lang w:val="en-US" w:eastAsia="zh-CN"/>
        </w:rPr>
        <w:t>“两重”建设农业领域项目，同时录入国家重大建设项目库</w:t>
      </w:r>
      <w:r>
        <w:rPr>
          <w:rFonts w:hint="eastAsia" w:ascii="仿宋_GB2312" w:hAnsi="仿宋_GB2312" w:eastAsia="仿宋_GB2312" w:cs="仿宋_GB2312"/>
          <w:snapToGrid w:val="0"/>
          <w:color w:val="auto"/>
          <w:spacing w:val="-6"/>
          <w:kern w:val="0"/>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640" w:firstLineChars="200"/>
        <w:jc w:val="both"/>
        <w:rPr>
          <w:rFonts w:hint="eastAsia" w:ascii="仿宋_GB2312" w:hAnsi="仿宋_GB2312" w:eastAsia="仿宋_GB2312" w:cs="仿宋_GB2312"/>
          <w:color w:val="auto"/>
          <w:kern w:val="0"/>
          <w:highlight w:val="none"/>
          <w:lang w:val="en-US" w:eastAsia="zh-CN"/>
        </w:rPr>
      </w:pPr>
      <w:r>
        <w:rPr>
          <w:rFonts w:hint="eastAsia" w:ascii="楷体_GB2312" w:hAnsi="楷体_GB2312" w:eastAsia="楷体_GB2312" w:cs="楷体_GB2312"/>
          <w:color w:val="auto"/>
          <w:kern w:val="0"/>
          <w:highlight w:val="none"/>
          <w:lang w:val="en-US" w:eastAsia="zh-CN"/>
        </w:rPr>
        <w:t>（二）纸质材料报送。</w:t>
      </w:r>
      <w:r>
        <w:rPr>
          <w:rFonts w:hint="eastAsia" w:ascii="仿宋_GB2312" w:hAnsi="仿宋_GB2312" w:eastAsia="仿宋_GB2312" w:cs="仿宋_GB2312"/>
          <w:color w:val="auto"/>
          <w:kern w:val="0"/>
          <w:highlight w:val="none"/>
          <w:lang w:val="en-US" w:eastAsia="zh-CN"/>
        </w:rPr>
        <w:t>请各地</w:t>
      </w:r>
      <w:r>
        <w:rPr>
          <w:rFonts w:hint="eastAsia" w:ascii="仿宋_GB2312" w:hAnsi="仿宋_GB2312" w:cs="仿宋_GB2312"/>
          <w:color w:val="auto"/>
          <w:kern w:val="0"/>
          <w:highlight w:val="none"/>
          <w:lang w:val="en-US" w:eastAsia="zh-CN"/>
        </w:rPr>
        <w:t>级以上</w:t>
      </w:r>
      <w:r>
        <w:rPr>
          <w:rFonts w:hint="eastAsia" w:ascii="仿宋_GB2312" w:hAnsi="仿宋_GB2312" w:eastAsia="仿宋_GB2312" w:cs="仿宋_GB2312"/>
          <w:color w:val="auto"/>
          <w:kern w:val="0"/>
          <w:highlight w:val="none"/>
          <w:lang w:val="en-US" w:eastAsia="zh-CN"/>
        </w:rPr>
        <w:t>市农业农村部门和省级有关单位于</w:t>
      </w:r>
      <w:r>
        <w:rPr>
          <w:rFonts w:hint="eastAsia" w:ascii="仿宋_GB2312" w:hAnsi="仿宋_GB2312" w:cs="仿宋_GB2312"/>
          <w:color w:val="auto"/>
          <w:kern w:val="0"/>
          <w:highlight w:val="none"/>
          <w:lang w:val="en-US" w:eastAsia="zh-CN"/>
        </w:rPr>
        <w:t>9</w:t>
      </w:r>
      <w:r>
        <w:rPr>
          <w:rFonts w:hint="eastAsia" w:ascii="仿宋_GB2312" w:hAnsi="仿宋_GB2312" w:eastAsia="仿宋_GB2312" w:cs="仿宋_GB2312"/>
          <w:color w:val="auto"/>
          <w:kern w:val="0"/>
          <w:highlight w:val="none"/>
          <w:lang w:val="en-US" w:eastAsia="zh-CN"/>
        </w:rPr>
        <w:t>月</w:t>
      </w:r>
      <w:r>
        <w:rPr>
          <w:rFonts w:hint="default" w:ascii="仿宋_GB2312" w:hAnsi="仿宋_GB2312" w:cs="仿宋_GB2312"/>
          <w:color w:val="auto"/>
          <w:kern w:val="0"/>
          <w:highlight w:val="none"/>
          <w:lang w:val="en-US" w:eastAsia="zh-CN"/>
        </w:rPr>
        <w:t>10</w:t>
      </w:r>
      <w:r>
        <w:rPr>
          <w:rFonts w:hint="eastAsia" w:ascii="仿宋_GB2312" w:hAnsi="仿宋_GB2312" w:eastAsia="仿宋_GB2312" w:cs="仿宋_GB2312"/>
          <w:color w:val="auto"/>
          <w:kern w:val="0"/>
          <w:highlight w:val="none"/>
          <w:lang w:val="en-US" w:eastAsia="zh-CN"/>
        </w:rPr>
        <w:t>日下午5</w:t>
      </w:r>
      <w:r>
        <w:rPr>
          <w:rFonts w:hint="eastAsia" w:ascii="仿宋_GB2312" w:hAnsi="仿宋_GB2312" w:cs="仿宋_GB2312"/>
          <w:color w:val="auto"/>
          <w:kern w:val="0"/>
          <w:highlight w:val="none"/>
          <w:lang w:val="en-US" w:eastAsia="zh-CN"/>
        </w:rPr>
        <w:t>：</w:t>
      </w:r>
      <w:r>
        <w:rPr>
          <w:rFonts w:hint="eastAsia" w:ascii="仿宋_GB2312" w:hAnsi="仿宋_GB2312" w:eastAsia="仿宋_GB2312" w:cs="仿宋_GB2312"/>
          <w:color w:val="auto"/>
          <w:kern w:val="0"/>
          <w:highlight w:val="none"/>
          <w:lang w:val="en-US" w:eastAsia="zh-CN"/>
        </w:rPr>
        <w:t>30前将纸质申报材料、申报文件一式</w:t>
      </w:r>
      <w:r>
        <w:rPr>
          <w:rFonts w:hint="eastAsia" w:ascii="仿宋_GB2312" w:hAnsi="仿宋_GB2312" w:cs="仿宋_GB2312"/>
          <w:color w:val="auto"/>
          <w:kern w:val="0"/>
          <w:highlight w:val="none"/>
          <w:lang w:val="en-US" w:eastAsia="zh-CN"/>
        </w:rPr>
        <w:t>三</w:t>
      </w:r>
      <w:r>
        <w:rPr>
          <w:rFonts w:hint="eastAsia" w:ascii="仿宋_GB2312" w:hAnsi="仿宋_GB2312" w:eastAsia="仿宋_GB2312" w:cs="仿宋_GB2312"/>
          <w:color w:val="auto"/>
          <w:kern w:val="0"/>
          <w:highlight w:val="none"/>
          <w:lang w:val="en-US" w:eastAsia="zh-CN"/>
        </w:rPr>
        <w:t>份（附电子文档）报省农业农村厅（材料寄送地址及收件人信息：广州市先烈东路135号2号楼省农业环境与耕地质量保护中心（省农业农村投资项目中心）11楼，黄婉薇，电话：020-37236548）。</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640" w:firstLineChars="200"/>
        <w:jc w:val="both"/>
        <w:rPr>
          <w:rFonts w:hint="eastAsia" w:ascii="仿宋_GB2312" w:hAnsi="仿宋_GB2312" w:eastAsia="仿宋_GB2312" w:cs="仿宋_GB2312"/>
          <w:color w:val="auto"/>
          <w:kern w:val="0"/>
          <w:highlight w:val="none"/>
          <w:lang w:val="en-US" w:eastAsia="zh-CN"/>
        </w:rPr>
      </w:pPr>
      <w:r>
        <w:rPr>
          <w:rFonts w:hint="eastAsia" w:ascii="楷体_GB2312" w:hAnsi="楷体_GB2312" w:eastAsia="楷体_GB2312" w:cs="楷体_GB2312"/>
          <w:color w:val="auto"/>
          <w:kern w:val="0"/>
          <w:highlight w:val="none"/>
          <w:lang w:val="en-US" w:eastAsia="zh-CN"/>
        </w:rPr>
        <w:t>（三）批复文件备案。</w:t>
      </w:r>
      <w:r>
        <w:rPr>
          <w:rFonts w:hint="eastAsia" w:ascii="仿宋_GB2312" w:hAnsi="仿宋_GB2312" w:cs="仿宋_GB2312"/>
          <w:color w:val="auto"/>
          <w:kern w:val="0"/>
          <w:highlight w:val="none"/>
          <w:lang w:val="en-US" w:eastAsia="zh-CN"/>
        </w:rPr>
        <w:t>请各地级以上市</w:t>
      </w:r>
      <w:r>
        <w:rPr>
          <w:rFonts w:hint="eastAsia" w:ascii="仿宋_GB2312" w:hAnsi="仿宋_GB2312" w:eastAsia="仿宋_GB2312" w:cs="仿宋_GB2312"/>
          <w:color w:val="auto"/>
          <w:kern w:val="0"/>
          <w:highlight w:val="none"/>
          <w:lang w:val="en-US" w:eastAsia="zh-CN"/>
        </w:rPr>
        <w:t>农业农村部门和省级有关单位</w:t>
      </w:r>
      <w:r>
        <w:rPr>
          <w:rFonts w:hint="eastAsia" w:ascii="仿宋_GB2312" w:hAnsi="仿宋_GB2312" w:cs="仿宋_GB2312"/>
          <w:color w:val="auto"/>
          <w:kern w:val="0"/>
          <w:highlight w:val="none"/>
          <w:lang w:val="en-US" w:eastAsia="zh-CN"/>
        </w:rPr>
        <w:t>于9月</w:t>
      </w:r>
      <w:r>
        <w:rPr>
          <w:rFonts w:hint="default" w:ascii="仿宋_GB2312" w:hAnsi="仿宋_GB2312" w:cs="仿宋_GB2312"/>
          <w:color w:val="auto"/>
          <w:kern w:val="0"/>
          <w:highlight w:val="none"/>
          <w:lang w:val="en-US" w:eastAsia="zh-CN"/>
        </w:rPr>
        <w:t>23</w:t>
      </w:r>
      <w:r>
        <w:rPr>
          <w:rFonts w:hint="eastAsia" w:ascii="仿宋_GB2312" w:hAnsi="仿宋_GB2312" w:cs="仿宋_GB2312"/>
          <w:color w:val="auto"/>
          <w:kern w:val="0"/>
          <w:highlight w:val="none"/>
          <w:lang w:val="en-US" w:eastAsia="zh-CN"/>
        </w:rPr>
        <w:t>日前将申报项目可行性研究报告或实施方案</w:t>
      </w:r>
      <w:r>
        <w:rPr>
          <w:rFonts w:hint="eastAsia" w:ascii="仿宋_GB2312" w:hAnsi="仿宋_GB2312" w:eastAsia="仿宋_GB2312" w:cs="仿宋_GB2312"/>
          <w:color w:val="auto"/>
          <w:kern w:val="0"/>
          <w:sz w:val="32"/>
          <w:szCs w:val="32"/>
          <w:highlight w:val="none"/>
        </w:rPr>
        <w:t>批复文件</w:t>
      </w:r>
      <w:r>
        <w:rPr>
          <w:rFonts w:hint="eastAsia" w:ascii="仿宋_GB2312" w:hAnsi="仿宋_GB2312" w:cs="仿宋_GB2312"/>
          <w:color w:val="auto"/>
          <w:kern w:val="0"/>
          <w:sz w:val="32"/>
          <w:szCs w:val="32"/>
          <w:highlight w:val="none"/>
          <w:lang w:val="en-US" w:eastAsia="zh-CN"/>
        </w:rPr>
        <w:t>报送到省农业农村厅备案。</w:t>
      </w:r>
      <w:r>
        <w:rPr>
          <w:rFonts w:hint="eastAsia" w:ascii="仿宋_GB2312" w:hAnsi="仿宋_GB2312" w:eastAsia="仿宋_GB2312" w:cs="仿宋_GB2312"/>
          <w:color w:val="auto"/>
          <w:kern w:val="0"/>
          <w:sz w:val="32"/>
          <w:szCs w:val="32"/>
          <w:highlight w:val="none"/>
        </w:rPr>
        <w:t>直接投资项目应批复项目可行性研究报告，投资补助项目应批复项目实施方案。项目可研报告、初步设计、实施方案应达到相应的深度规定要求。</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640" w:firstLineChars="200"/>
        <w:jc w:val="both"/>
        <w:rPr>
          <w:rFonts w:hint="eastAsia" w:ascii="仿宋_GB2312" w:hAnsi="仿宋_GB2312" w:eastAsia="仿宋_GB2312" w:cs="仿宋_GB2312"/>
          <w:b w:val="0"/>
          <w:color w:val="auto"/>
          <w:kern w:val="0"/>
          <w:sz w:val="32"/>
          <w:szCs w:val="24"/>
          <w:highlight w:val="none"/>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640" w:firstLineChars="200"/>
        <w:jc w:val="both"/>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eastAsia="仿宋_GB2312" w:cs="仿宋_GB2312"/>
          <w:b w:val="0"/>
          <w:color w:val="auto"/>
          <w:kern w:val="0"/>
          <w:sz w:val="32"/>
          <w:szCs w:val="24"/>
          <w:highlight w:val="none"/>
          <w:lang w:val="en-US" w:eastAsia="zh-CN" w:bidi="ar-SA"/>
        </w:rPr>
        <w:t>附件：1-1.高标准农田建设项目储备指南</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1600" w:firstLineChars="500"/>
        <w:jc w:val="both"/>
        <w:textAlignment w:val="auto"/>
        <w:rPr>
          <w:rFonts w:hint="eastAsia" w:ascii="仿宋_GB2312" w:hAnsi="仿宋_GB2312" w:eastAsia="仿宋_GB2312" w:cs="仿宋_GB2312"/>
          <w:b w:val="0"/>
          <w:bCs w:val="0"/>
          <w:color w:val="auto"/>
          <w:kern w:val="0"/>
          <w:sz w:val="32"/>
          <w:szCs w:val="32"/>
          <w:highlight w:val="none"/>
        </w:rPr>
      </w:pPr>
      <w:r>
        <w:rPr>
          <w:rFonts w:hint="eastAsia" w:ascii="仿宋_GB2312" w:hAnsi="仿宋_GB2312" w:eastAsia="仿宋_GB2312" w:cs="仿宋_GB2312"/>
          <w:b w:val="0"/>
          <w:color w:val="auto"/>
          <w:kern w:val="0"/>
          <w:sz w:val="32"/>
          <w:szCs w:val="24"/>
          <w:highlight w:val="none"/>
          <w:lang w:val="en-US" w:eastAsia="zh-CN" w:bidi="ar-SA"/>
        </w:rPr>
        <w:t>1-2.现代种业提升工程项目储备指南</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1600" w:firstLineChars="5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eastAsia="仿宋_GB2312" w:cs="仿宋_GB2312"/>
          <w:b w:val="0"/>
          <w:color w:val="auto"/>
          <w:kern w:val="0"/>
          <w:sz w:val="32"/>
          <w:szCs w:val="24"/>
          <w:highlight w:val="none"/>
          <w:lang w:val="en-US" w:eastAsia="zh-CN" w:bidi="ar-SA"/>
        </w:rPr>
        <w:t>1-3.动植物保护能力提升工程项目储备指南</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1600" w:firstLineChars="5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eastAsia="仿宋_GB2312" w:cs="仿宋_GB2312"/>
          <w:b w:val="0"/>
          <w:color w:val="auto"/>
          <w:kern w:val="0"/>
          <w:sz w:val="32"/>
          <w:szCs w:val="24"/>
          <w:highlight w:val="none"/>
          <w:lang w:val="en-US" w:eastAsia="zh-CN" w:bidi="ar-SA"/>
        </w:rPr>
        <w:t>1-4.畜禽粪污资源化利用整县推进项目储备指南</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1600" w:firstLineChars="5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eastAsia="仿宋_GB2312" w:cs="仿宋_GB2312"/>
          <w:b w:val="0"/>
          <w:color w:val="auto"/>
          <w:kern w:val="0"/>
          <w:sz w:val="32"/>
          <w:szCs w:val="24"/>
          <w:highlight w:val="none"/>
          <w:lang w:val="en-US" w:eastAsia="zh-CN" w:bidi="ar-SA"/>
        </w:rPr>
        <w:t>1-5.农业科技创新能力条件建设项目储备指南</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1600" w:firstLineChars="5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eastAsia="仿宋_GB2312" w:cs="仿宋_GB2312"/>
          <w:b w:val="0"/>
          <w:color w:val="auto"/>
          <w:kern w:val="0"/>
          <w:sz w:val="32"/>
          <w:szCs w:val="24"/>
          <w:highlight w:val="none"/>
          <w:lang w:val="en-US" w:eastAsia="zh-CN" w:bidi="ar-SA"/>
        </w:rPr>
        <w:t>1-6.数字农业建设项目储备指南</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1600" w:firstLineChars="5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eastAsia="仿宋_GB2312" w:cs="仿宋_GB2312"/>
          <w:b w:val="0"/>
          <w:color w:val="auto"/>
          <w:kern w:val="0"/>
          <w:sz w:val="32"/>
          <w:szCs w:val="24"/>
          <w:highlight w:val="none"/>
          <w:lang w:val="en-US" w:eastAsia="zh-CN" w:bidi="ar-SA"/>
        </w:rPr>
        <w:t>2.投资需求申请表（样表）</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1600" w:firstLineChars="5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eastAsia="仿宋_GB2312" w:cs="仿宋_GB2312"/>
          <w:b w:val="0"/>
          <w:color w:val="auto"/>
          <w:kern w:val="0"/>
          <w:sz w:val="32"/>
          <w:szCs w:val="24"/>
          <w:highlight w:val="none"/>
          <w:lang w:val="en-US" w:eastAsia="zh-CN" w:bidi="ar-SA"/>
        </w:rPr>
        <w:t>3.绩效目标表（样表）</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1600" w:firstLineChars="5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cs="仿宋_GB2312"/>
          <w:b w:val="0"/>
          <w:color w:val="auto"/>
          <w:kern w:val="0"/>
          <w:sz w:val="32"/>
          <w:szCs w:val="24"/>
          <w:highlight w:val="none"/>
          <w:lang w:val="en-US" w:eastAsia="zh-CN" w:bidi="ar-SA"/>
        </w:rPr>
        <w:t>4</w:t>
      </w:r>
      <w:r>
        <w:rPr>
          <w:rFonts w:hint="eastAsia" w:ascii="仿宋_GB2312" w:hAnsi="仿宋_GB2312" w:eastAsia="仿宋_GB2312" w:cs="仿宋_GB2312"/>
          <w:b w:val="0"/>
          <w:color w:val="auto"/>
          <w:kern w:val="0"/>
          <w:sz w:val="32"/>
          <w:szCs w:val="24"/>
          <w:highlight w:val="none"/>
          <w:lang w:val="en-US" w:eastAsia="zh-CN" w:bidi="ar-SA"/>
        </w:rPr>
        <w:t>.项目申报书审核意见表</w:t>
      </w:r>
    </w:p>
    <w:p>
      <w:pPr>
        <w:keepNext w:val="0"/>
        <w:keepLines w:val="0"/>
        <w:pageBreakBefore w:val="0"/>
        <w:widowControl w:val="0"/>
        <w:kinsoku/>
        <w:wordWrap/>
        <w:overflowPunct/>
        <w:topLinePunct w:val="0"/>
        <w:autoSpaceDE/>
        <w:autoSpaceDN/>
        <w:bidi w:val="0"/>
        <w:adjustRightInd w:val="0"/>
        <w:snapToGrid w:val="0"/>
        <w:spacing w:line="568" w:lineRule="exact"/>
        <w:ind w:left="640" w:leftChars="200" w:right="0" w:firstLine="960" w:firstLineChars="3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cs="仿宋_GB2312"/>
          <w:b w:val="0"/>
          <w:color w:val="auto"/>
          <w:kern w:val="0"/>
          <w:sz w:val="32"/>
          <w:szCs w:val="24"/>
          <w:highlight w:val="none"/>
          <w:lang w:val="en-US" w:eastAsia="zh-CN" w:bidi="ar-SA"/>
        </w:rPr>
        <w:t>5</w:t>
      </w:r>
      <w:r>
        <w:rPr>
          <w:rFonts w:hint="eastAsia" w:ascii="仿宋_GB2312" w:hAnsi="仿宋_GB2312" w:eastAsia="仿宋_GB2312" w:cs="仿宋_GB2312"/>
          <w:b w:val="0"/>
          <w:color w:val="auto"/>
          <w:kern w:val="0"/>
          <w:sz w:val="32"/>
          <w:szCs w:val="24"/>
          <w:highlight w:val="none"/>
          <w:lang w:val="en-US" w:eastAsia="zh-CN" w:bidi="ar-SA"/>
        </w:rPr>
        <w:t>-1.高标准农田建设项目申报书模板（高标准农田建</w:t>
      </w:r>
    </w:p>
    <w:p>
      <w:pPr>
        <w:keepNext w:val="0"/>
        <w:keepLines w:val="0"/>
        <w:pageBreakBefore w:val="0"/>
        <w:widowControl w:val="0"/>
        <w:kinsoku/>
        <w:wordWrap/>
        <w:overflowPunct/>
        <w:topLinePunct w:val="0"/>
        <w:autoSpaceDE/>
        <w:autoSpaceDN/>
        <w:bidi w:val="0"/>
        <w:adjustRightInd w:val="0"/>
        <w:snapToGrid w:val="0"/>
        <w:spacing w:line="568" w:lineRule="exact"/>
        <w:ind w:left="640" w:leftChars="200" w:right="0" w:firstLine="1600" w:firstLineChars="5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eastAsia="仿宋_GB2312" w:cs="仿宋_GB2312"/>
          <w:b w:val="0"/>
          <w:color w:val="auto"/>
          <w:kern w:val="0"/>
          <w:sz w:val="32"/>
          <w:szCs w:val="24"/>
          <w:highlight w:val="none"/>
          <w:lang w:val="en-US" w:eastAsia="zh-CN" w:bidi="ar-SA"/>
        </w:rPr>
        <w:t>设项目）</w:t>
      </w:r>
    </w:p>
    <w:p>
      <w:pPr>
        <w:keepNext w:val="0"/>
        <w:keepLines w:val="0"/>
        <w:pageBreakBefore w:val="0"/>
        <w:widowControl w:val="0"/>
        <w:kinsoku/>
        <w:wordWrap/>
        <w:overflowPunct/>
        <w:topLinePunct w:val="0"/>
        <w:autoSpaceDE/>
        <w:autoSpaceDN/>
        <w:bidi w:val="0"/>
        <w:adjustRightInd w:val="0"/>
        <w:snapToGrid w:val="0"/>
        <w:spacing w:line="568" w:lineRule="exact"/>
        <w:ind w:left="640" w:leftChars="200" w:right="0" w:firstLine="960" w:firstLineChars="3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cs="仿宋_GB2312"/>
          <w:b w:val="0"/>
          <w:color w:val="auto"/>
          <w:kern w:val="0"/>
          <w:sz w:val="32"/>
          <w:szCs w:val="24"/>
          <w:highlight w:val="none"/>
          <w:lang w:val="en-US" w:eastAsia="zh-CN" w:bidi="ar-SA"/>
        </w:rPr>
        <w:t>5</w:t>
      </w:r>
      <w:r>
        <w:rPr>
          <w:rFonts w:hint="eastAsia" w:ascii="仿宋_GB2312" w:hAnsi="仿宋_GB2312" w:eastAsia="仿宋_GB2312" w:cs="仿宋_GB2312"/>
          <w:b w:val="0"/>
          <w:color w:val="auto"/>
          <w:kern w:val="0"/>
          <w:sz w:val="32"/>
          <w:szCs w:val="24"/>
          <w:highlight w:val="none"/>
          <w:lang w:val="en-US" w:eastAsia="zh-CN" w:bidi="ar-SA"/>
        </w:rPr>
        <w:t>-2.现代种业提升建设工程类项目申报书模板（现代</w:t>
      </w:r>
    </w:p>
    <w:p>
      <w:pPr>
        <w:keepNext w:val="0"/>
        <w:keepLines w:val="0"/>
        <w:pageBreakBefore w:val="0"/>
        <w:widowControl w:val="0"/>
        <w:kinsoku/>
        <w:wordWrap/>
        <w:overflowPunct/>
        <w:topLinePunct w:val="0"/>
        <w:autoSpaceDE/>
        <w:autoSpaceDN/>
        <w:bidi w:val="0"/>
        <w:adjustRightInd w:val="0"/>
        <w:snapToGrid w:val="0"/>
        <w:spacing w:line="568" w:lineRule="exact"/>
        <w:ind w:left="640" w:leftChars="200" w:right="0" w:firstLine="1600" w:firstLineChars="5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eastAsia="仿宋_GB2312" w:cs="仿宋_GB2312"/>
          <w:b w:val="0"/>
          <w:color w:val="auto"/>
          <w:kern w:val="0"/>
          <w:sz w:val="32"/>
          <w:szCs w:val="24"/>
          <w:highlight w:val="none"/>
          <w:lang w:val="en-US" w:eastAsia="zh-CN" w:bidi="ar-SA"/>
        </w:rPr>
        <w:t>种业提升工程项目）</w:t>
      </w:r>
    </w:p>
    <w:p>
      <w:pPr>
        <w:keepNext w:val="0"/>
        <w:keepLines w:val="0"/>
        <w:pageBreakBefore w:val="0"/>
        <w:widowControl w:val="0"/>
        <w:kinsoku/>
        <w:wordWrap/>
        <w:overflowPunct/>
        <w:topLinePunct w:val="0"/>
        <w:autoSpaceDE/>
        <w:autoSpaceDN/>
        <w:bidi w:val="0"/>
        <w:adjustRightInd w:val="0"/>
        <w:snapToGrid w:val="0"/>
        <w:spacing w:line="568" w:lineRule="exact"/>
        <w:ind w:left="640" w:leftChars="200" w:right="0" w:firstLine="960" w:firstLineChars="300"/>
        <w:jc w:val="both"/>
        <w:textAlignment w:val="auto"/>
        <w:rPr>
          <w:rFonts w:hint="eastAsia" w:ascii="仿宋_GB2312" w:hAnsi="仿宋_GB2312" w:eastAsia="仿宋_GB2312" w:cs="仿宋_GB2312"/>
          <w:b w:val="0"/>
          <w:snapToGrid/>
          <w:color w:val="auto"/>
          <w:spacing w:val="0"/>
          <w:kern w:val="0"/>
          <w:sz w:val="32"/>
          <w:szCs w:val="24"/>
          <w:highlight w:val="none"/>
          <w:lang w:val="en-US" w:eastAsia="zh-CN" w:bidi="ar-SA"/>
        </w:rPr>
      </w:pPr>
      <w:r>
        <w:rPr>
          <w:rFonts w:hint="eastAsia" w:ascii="仿宋_GB2312" w:hAnsi="仿宋_GB2312" w:cs="仿宋_GB2312"/>
          <w:b w:val="0"/>
          <w:color w:val="auto"/>
          <w:kern w:val="0"/>
          <w:sz w:val="32"/>
          <w:szCs w:val="24"/>
          <w:highlight w:val="none"/>
          <w:lang w:val="en-US" w:eastAsia="zh-CN" w:bidi="ar-SA"/>
        </w:rPr>
        <w:t>5</w:t>
      </w:r>
      <w:r>
        <w:rPr>
          <w:rFonts w:hint="eastAsia" w:ascii="仿宋_GB2312" w:hAnsi="仿宋_GB2312" w:eastAsia="仿宋_GB2312" w:cs="仿宋_GB2312"/>
          <w:b w:val="0"/>
          <w:color w:val="auto"/>
          <w:kern w:val="0"/>
          <w:sz w:val="32"/>
          <w:szCs w:val="24"/>
          <w:highlight w:val="none"/>
          <w:lang w:val="en-US" w:eastAsia="zh-CN" w:bidi="ar-SA"/>
        </w:rPr>
        <w:t>-3.</w:t>
      </w:r>
      <w:r>
        <w:rPr>
          <w:rFonts w:hint="eastAsia" w:ascii="仿宋_GB2312" w:hAnsi="仿宋_GB2312" w:eastAsia="仿宋_GB2312" w:cs="仿宋_GB2312"/>
          <w:b w:val="0"/>
          <w:snapToGrid/>
          <w:color w:val="auto"/>
          <w:spacing w:val="0"/>
          <w:kern w:val="0"/>
          <w:sz w:val="32"/>
          <w:szCs w:val="24"/>
          <w:highlight w:val="none"/>
          <w:lang w:val="en-US" w:eastAsia="zh-CN" w:bidi="ar-SA"/>
        </w:rPr>
        <w:t>农业监测检测和检测项目申报书模板（动植物保</w:t>
      </w:r>
    </w:p>
    <w:p>
      <w:pPr>
        <w:keepNext w:val="0"/>
        <w:keepLines w:val="0"/>
        <w:pageBreakBefore w:val="0"/>
        <w:widowControl w:val="0"/>
        <w:kinsoku/>
        <w:wordWrap/>
        <w:overflowPunct/>
        <w:topLinePunct w:val="0"/>
        <w:autoSpaceDE/>
        <w:autoSpaceDN/>
        <w:bidi w:val="0"/>
        <w:adjustRightInd w:val="0"/>
        <w:snapToGrid w:val="0"/>
        <w:spacing w:line="568" w:lineRule="exact"/>
        <w:ind w:left="640" w:leftChars="200" w:right="0" w:firstLine="1540" w:firstLineChars="500"/>
        <w:jc w:val="both"/>
        <w:textAlignment w:val="auto"/>
        <w:rPr>
          <w:rFonts w:hint="eastAsia" w:ascii="仿宋_GB2312" w:hAnsi="仿宋_GB2312" w:eastAsia="仿宋_GB2312" w:cs="仿宋_GB2312"/>
          <w:b w:val="0"/>
          <w:snapToGrid w:val="0"/>
          <w:color w:val="auto"/>
          <w:spacing w:val="-6"/>
          <w:kern w:val="0"/>
          <w:sz w:val="32"/>
          <w:szCs w:val="24"/>
          <w:highlight w:val="none"/>
          <w:lang w:val="en-US" w:eastAsia="zh-CN" w:bidi="ar-SA"/>
        </w:rPr>
      </w:pPr>
      <w:r>
        <w:rPr>
          <w:rFonts w:hint="eastAsia" w:ascii="仿宋_GB2312" w:hAnsi="仿宋_GB2312" w:eastAsia="仿宋_GB2312" w:cs="仿宋_GB2312"/>
          <w:b w:val="0"/>
          <w:snapToGrid w:val="0"/>
          <w:color w:val="auto"/>
          <w:spacing w:val="-6"/>
          <w:kern w:val="0"/>
          <w:sz w:val="32"/>
          <w:szCs w:val="24"/>
          <w:highlight w:val="none"/>
          <w:lang w:val="en-US" w:eastAsia="zh-CN" w:bidi="ar-SA"/>
        </w:rPr>
        <w:t>护能力提升工程项目，主要内容为室外监测检测）</w:t>
      </w:r>
    </w:p>
    <w:p>
      <w:pPr>
        <w:keepNext w:val="0"/>
        <w:keepLines w:val="0"/>
        <w:pageBreakBefore w:val="0"/>
        <w:widowControl w:val="0"/>
        <w:kinsoku/>
        <w:wordWrap/>
        <w:overflowPunct/>
        <w:topLinePunct w:val="0"/>
        <w:autoSpaceDE/>
        <w:autoSpaceDN/>
        <w:bidi w:val="0"/>
        <w:adjustRightInd w:val="0"/>
        <w:snapToGrid w:val="0"/>
        <w:spacing w:line="568" w:lineRule="exact"/>
        <w:ind w:left="640" w:leftChars="200" w:right="0" w:firstLine="960" w:firstLineChars="3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cs="仿宋_GB2312"/>
          <w:b w:val="0"/>
          <w:color w:val="auto"/>
          <w:kern w:val="0"/>
          <w:sz w:val="32"/>
          <w:szCs w:val="24"/>
          <w:highlight w:val="none"/>
          <w:lang w:val="en-US" w:eastAsia="zh-CN" w:bidi="ar-SA"/>
        </w:rPr>
        <w:t>5</w:t>
      </w:r>
      <w:r>
        <w:rPr>
          <w:rFonts w:hint="eastAsia" w:ascii="仿宋_GB2312" w:hAnsi="仿宋_GB2312" w:eastAsia="仿宋_GB2312" w:cs="仿宋_GB2312"/>
          <w:b w:val="0"/>
          <w:color w:val="auto"/>
          <w:kern w:val="0"/>
          <w:sz w:val="32"/>
          <w:szCs w:val="24"/>
          <w:highlight w:val="none"/>
          <w:lang w:val="en-US" w:eastAsia="zh-CN" w:bidi="ar-SA"/>
        </w:rPr>
        <w:t>-4.现代农业产业发展项目申报书模板（畜禽粪污资</w:t>
      </w:r>
    </w:p>
    <w:p>
      <w:pPr>
        <w:keepNext w:val="0"/>
        <w:keepLines w:val="0"/>
        <w:pageBreakBefore w:val="0"/>
        <w:widowControl w:val="0"/>
        <w:kinsoku/>
        <w:wordWrap/>
        <w:overflowPunct/>
        <w:topLinePunct w:val="0"/>
        <w:autoSpaceDE/>
        <w:autoSpaceDN/>
        <w:bidi w:val="0"/>
        <w:adjustRightInd w:val="0"/>
        <w:snapToGrid w:val="0"/>
        <w:spacing w:line="568" w:lineRule="exact"/>
        <w:ind w:left="640" w:leftChars="200" w:right="0" w:firstLine="1600" w:firstLineChars="5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eastAsia="仿宋_GB2312" w:cs="仿宋_GB2312"/>
          <w:b w:val="0"/>
          <w:color w:val="auto"/>
          <w:kern w:val="0"/>
          <w:sz w:val="32"/>
          <w:szCs w:val="24"/>
          <w:highlight w:val="none"/>
          <w:lang w:val="en-US" w:eastAsia="zh-CN" w:bidi="ar-SA"/>
        </w:rPr>
        <w:t>源化利用整县推进项目、数字农业建设项目）</w:t>
      </w:r>
    </w:p>
    <w:p>
      <w:pPr>
        <w:keepNext w:val="0"/>
        <w:keepLines w:val="0"/>
        <w:pageBreakBefore w:val="0"/>
        <w:widowControl w:val="0"/>
        <w:kinsoku/>
        <w:wordWrap/>
        <w:overflowPunct/>
        <w:topLinePunct w:val="0"/>
        <w:autoSpaceDE/>
        <w:autoSpaceDN/>
        <w:bidi w:val="0"/>
        <w:adjustRightInd w:val="0"/>
        <w:snapToGrid w:val="0"/>
        <w:spacing w:line="568" w:lineRule="exact"/>
        <w:ind w:left="640" w:leftChars="200" w:right="0" w:firstLine="960" w:firstLineChars="3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cs="仿宋_GB2312"/>
          <w:b w:val="0"/>
          <w:color w:val="auto"/>
          <w:kern w:val="0"/>
          <w:sz w:val="32"/>
          <w:szCs w:val="24"/>
          <w:highlight w:val="none"/>
          <w:lang w:val="en-US" w:eastAsia="zh-CN" w:bidi="ar-SA"/>
        </w:rPr>
        <w:t>5</w:t>
      </w:r>
      <w:r>
        <w:rPr>
          <w:rFonts w:hint="eastAsia" w:ascii="仿宋_GB2312" w:hAnsi="仿宋_GB2312" w:eastAsia="仿宋_GB2312" w:cs="仿宋_GB2312"/>
          <w:b w:val="0"/>
          <w:color w:val="auto"/>
          <w:kern w:val="0"/>
          <w:sz w:val="32"/>
          <w:szCs w:val="24"/>
          <w:highlight w:val="none"/>
          <w:lang w:val="en-US" w:eastAsia="zh-CN" w:bidi="ar-SA"/>
        </w:rPr>
        <w:t>-5.农业科技创新能力条件提升（重点实验室）建设</w:t>
      </w:r>
    </w:p>
    <w:p>
      <w:pPr>
        <w:keepNext w:val="0"/>
        <w:keepLines w:val="0"/>
        <w:pageBreakBefore w:val="0"/>
        <w:widowControl w:val="0"/>
        <w:kinsoku/>
        <w:wordWrap/>
        <w:overflowPunct/>
        <w:topLinePunct w:val="0"/>
        <w:autoSpaceDE/>
        <w:autoSpaceDN/>
        <w:bidi w:val="0"/>
        <w:adjustRightInd w:val="0"/>
        <w:snapToGrid w:val="0"/>
        <w:spacing w:line="568" w:lineRule="exact"/>
        <w:ind w:left="640" w:leftChars="200" w:right="0" w:firstLine="1600" w:firstLineChars="5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eastAsia="仿宋_GB2312" w:cs="仿宋_GB2312"/>
          <w:b w:val="0"/>
          <w:color w:val="auto"/>
          <w:kern w:val="0"/>
          <w:sz w:val="32"/>
          <w:szCs w:val="24"/>
          <w:highlight w:val="none"/>
          <w:lang w:val="en-US" w:eastAsia="zh-CN" w:bidi="ar-SA"/>
        </w:rPr>
        <w:t>工程类项目申报书模板（农业科技创新能力条件</w:t>
      </w:r>
    </w:p>
    <w:p>
      <w:pPr>
        <w:keepNext w:val="0"/>
        <w:keepLines w:val="0"/>
        <w:pageBreakBefore w:val="0"/>
        <w:widowControl w:val="0"/>
        <w:kinsoku/>
        <w:wordWrap/>
        <w:overflowPunct/>
        <w:topLinePunct w:val="0"/>
        <w:autoSpaceDE/>
        <w:autoSpaceDN/>
        <w:bidi w:val="0"/>
        <w:adjustRightInd w:val="0"/>
        <w:snapToGrid w:val="0"/>
        <w:spacing w:line="568" w:lineRule="exact"/>
        <w:ind w:left="640" w:leftChars="200" w:right="0" w:firstLine="1600" w:firstLineChars="500"/>
        <w:jc w:val="both"/>
        <w:textAlignment w:val="auto"/>
        <w:rPr>
          <w:rFonts w:hint="eastAsia" w:ascii="仿宋_GB2312" w:hAnsi="仿宋_GB2312" w:eastAsia="仿宋_GB2312" w:cs="仿宋_GB2312"/>
          <w:b w:val="0"/>
          <w:bCs w:val="0"/>
          <w:color w:val="auto"/>
          <w:kern w:val="0"/>
          <w:sz w:val="32"/>
          <w:szCs w:val="24"/>
          <w:highlight w:val="none"/>
          <w:lang w:val="en-US" w:eastAsia="zh-CN"/>
        </w:rPr>
      </w:pPr>
      <w:r>
        <w:rPr>
          <w:rFonts w:hint="eastAsia" w:ascii="仿宋_GB2312" w:hAnsi="仿宋_GB2312" w:eastAsia="仿宋_GB2312" w:cs="仿宋_GB2312"/>
          <w:b w:val="0"/>
          <w:color w:val="auto"/>
          <w:kern w:val="0"/>
          <w:sz w:val="32"/>
          <w:szCs w:val="24"/>
          <w:highlight w:val="none"/>
          <w:lang w:val="en-US" w:eastAsia="zh-CN" w:bidi="ar-SA"/>
        </w:rPr>
        <w:t>建设项目、动植物保护能力提升工程项</w:t>
      </w:r>
      <w:r>
        <w:rPr>
          <w:rFonts w:hint="eastAsia" w:ascii="仿宋_GB2312" w:hAnsi="仿宋_GB2312" w:eastAsia="仿宋_GB2312" w:cs="仿宋_GB2312"/>
          <w:b w:val="0"/>
          <w:bCs w:val="0"/>
          <w:color w:val="auto"/>
          <w:kern w:val="0"/>
          <w:sz w:val="32"/>
          <w:szCs w:val="24"/>
          <w:highlight w:val="none"/>
          <w:lang w:val="en-US" w:eastAsia="zh-CN"/>
        </w:rPr>
        <w:t>目，主要</w:t>
      </w:r>
    </w:p>
    <w:p>
      <w:pPr>
        <w:keepNext w:val="0"/>
        <w:keepLines w:val="0"/>
        <w:pageBreakBefore w:val="0"/>
        <w:widowControl w:val="0"/>
        <w:kinsoku/>
        <w:wordWrap/>
        <w:overflowPunct/>
        <w:topLinePunct w:val="0"/>
        <w:autoSpaceDE/>
        <w:autoSpaceDN/>
        <w:bidi w:val="0"/>
        <w:adjustRightInd w:val="0"/>
        <w:snapToGrid w:val="0"/>
        <w:spacing w:line="568" w:lineRule="exact"/>
        <w:ind w:left="640" w:leftChars="200" w:right="0" w:firstLine="1600" w:firstLineChars="500"/>
        <w:jc w:val="both"/>
        <w:textAlignment w:val="auto"/>
        <w:rPr>
          <w:rFonts w:hint="eastAsia" w:ascii="仿宋_GB2312" w:hAnsi="仿宋_GB2312" w:eastAsia="仿宋_GB2312" w:cs="仿宋_GB2312"/>
          <w:b w:val="0"/>
          <w:bCs w:val="0"/>
          <w:color w:val="auto"/>
          <w:kern w:val="0"/>
          <w:sz w:val="32"/>
          <w:szCs w:val="24"/>
          <w:highlight w:val="none"/>
          <w:lang w:val="en-US" w:eastAsia="zh-CN"/>
        </w:rPr>
      </w:pPr>
      <w:r>
        <w:rPr>
          <w:rFonts w:hint="eastAsia" w:ascii="仿宋_GB2312" w:hAnsi="仿宋_GB2312" w:eastAsia="仿宋_GB2312" w:cs="仿宋_GB2312"/>
          <w:b w:val="0"/>
          <w:bCs w:val="0"/>
          <w:color w:val="auto"/>
          <w:kern w:val="0"/>
          <w:sz w:val="32"/>
          <w:szCs w:val="24"/>
          <w:highlight w:val="none"/>
          <w:lang w:val="en-US" w:eastAsia="zh-CN"/>
        </w:rPr>
        <w:t>内容为检测实验室建设）</w:t>
      </w:r>
    </w:p>
    <w:p>
      <w:pPr>
        <w:keepNext w:val="0"/>
        <w:keepLines w:val="0"/>
        <w:pageBreakBefore w:val="0"/>
        <w:widowControl w:val="0"/>
        <w:kinsoku/>
        <w:wordWrap/>
        <w:overflowPunct/>
        <w:topLinePunct w:val="0"/>
        <w:autoSpaceDE/>
        <w:autoSpaceDN/>
        <w:bidi w:val="0"/>
        <w:adjustRightInd w:val="0"/>
        <w:snapToGrid w:val="0"/>
        <w:spacing w:after="0" w:line="568" w:lineRule="exact"/>
        <w:ind w:left="640" w:leftChars="200" w:right="0" w:firstLine="960" w:firstLineChars="300"/>
        <w:jc w:val="both"/>
        <w:rPr>
          <w:rFonts w:hint="eastAsia" w:ascii="仿宋_GB2312" w:hAnsi="仿宋_GB2312" w:eastAsia="仿宋_GB2312" w:cs="仿宋_GB2312"/>
          <w:b w:val="0"/>
          <w:bCs w:val="0"/>
          <w:color w:val="auto"/>
          <w:kern w:val="0"/>
          <w:sz w:val="32"/>
          <w:szCs w:val="24"/>
          <w:highlight w:val="none"/>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line="568" w:lineRule="exact"/>
        <w:ind w:left="0" w:leftChars="0" w:right="0" w:firstLine="640" w:firstLineChars="200"/>
        <w:jc w:val="both"/>
        <w:rPr>
          <w:rFonts w:hint="eastAsia" w:ascii="仿宋_GB2312" w:hAnsi="仿宋_GB2312" w:eastAsia="仿宋_GB2312" w:cs="仿宋_GB2312"/>
          <w:color w:val="auto"/>
          <w:kern w:val="0"/>
          <w:sz w:val="32"/>
          <w:szCs w:val="32"/>
          <w:highlight w:val="none"/>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640" w:firstLineChars="200"/>
        <w:jc w:val="both"/>
        <w:textAlignment w:val="auto"/>
        <w:rPr>
          <w:rFonts w:hint="eastAsia" w:ascii="仿宋_GB2312" w:hAnsi="仿宋_GB2312" w:eastAsia="仿宋_GB2312" w:cs="仿宋_GB2312"/>
          <w:b w:val="0"/>
          <w:color w:val="auto"/>
          <w:kern w:val="0"/>
          <w:sz w:val="32"/>
          <w:szCs w:val="24"/>
          <w:highlight w:val="none"/>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4480" w:firstLineChars="14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eastAsia="仿宋_GB2312" w:cs="仿宋_GB2312"/>
          <w:b w:val="0"/>
          <w:color w:val="auto"/>
          <w:kern w:val="0"/>
          <w:sz w:val="32"/>
          <w:szCs w:val="24"/>
          <w:highlight w:val="none"/>
          <w:lang w:val="en-US" w:eastAsia="zh-CN" w:bidi="ar-SA"/>
        </w:rPr>
        <w:t xml:space="preserve">广东省农业农村厅 </w:t>
      </w:r>
      <w:r>
        <w:rPr>
          <w:rFonts w:hint="eastAsia" w:ascii="仿宋_GB2312" w:hAnsi="仿宋_GB2312" w:cs="仿宋_GB2312"/>
          <w:b w:val="0"/>
          <w:color w:val="auto"/>
          <w:kern w:val="0"/>
          <w:sz w:val="32"/>
          <w:szCs w:val="24"/>
          <w:highlight w:val="none"/>
          <w:lang w:val="en-US" w:eastAsia="zh-CN" w:bidi="ar-SA"/>
        </w:rPr>
        <w:t xml:space="preserve">    </w:t>
      </w:r>
    </w:p>
    <w:p>
      <w:pPr>
        <w:adjustRightInd w:val="0"/>
        <w:snapToGrid w:val="0"/>
        <w:spacing w:line="568" w:lineRule="exact"/>
        <w:ind w:firstLine="640" w:firstLineChars="200"/>
        <w:jc w:val="both"/>
        <w:outlineLvl w:val="9"/>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b w:val="0"/>
          <w:color w:val="auto"/>
          <w:kern w:val="0"/>
          <w:sz w:val="32"/>
          <w:szCs w:val="24"/>
          <w:highlight w:val="none"/>
          <w:lang w:val="en-US" w:eastAsia="zh-CN" w:bidi="ar-SA"/>
        </w:rPr>
        <w:t xml:space="preserve">     </w:t>
      </w:r>
      <w:r>
        <w:rPr>
          <w:rFonts w:hint="eastAsia" w:ascii="仿宋_GB2312" w:hAnsi="仿宋_GB2312" w:eastAsia="仿宋_GB2312" w:cs="仿宋_GB2312"/>
          <w:color w:val="auto"/>
          <w:kern w:val="0"/>
          <w:sz w:val="32"/>
          <w:szCs w:val="32"/>
          <w:highlight w:val="none"/>
          <w:lang w:val="en-US" w:eastAsia="zh-CN"/>
        </w:rPr>
        <w:t xml:space="preserve">                   202</w:t>
      </w:r>
      <w:r>
        <w:rPr>
          <w:rFonts w:hint="eastAsia" w:ascii="仿宋_GB2312" w:hAnsi="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lang w:val="en-US" w:eastAsia="zh-CN"/>
        </w:rPr>
        <w:t>年</w:t>
      </w:r>
      <w:r>
        <w:rPr>
          <w:rFonts w:hint="eastAsia" w:ascii="仿宋_GB2312" w:hAnsi="仿宋_GB2312" w:cs="仿宋_GB2312"/>
          <w:color w:val="auto"/>
          <w:kern w:val="0"/>
          <w:sz w:val="32"/>
          <w:szCs w:val="32"/>
          <w:highlight w:val="none"/>
          <w:lang w:val="en-US" w:eastAsia="zh-CN"/>
        </w:rPr>
        <w:t>8</w:t>
      </w:r>
      <w:r>
        <w:rPr>
          <w:rFonts w:hint="eastAsia" w:ascii="仿宋_GB2312" w:hAnsi="仿宋_GB2312" w:eastAsia="仿宋_GB2312" w:cs="仿宋_GB2312"/>
          <w:color w:val="auto"/>
          <w:kern w:val="0"/>
          <w:sz w:val="32"/>
          <w:szCs w:val="32"/>
          <w:highlight w:val="none"/>
          <w:lang w:val="en-US" w:eastAsia="zh-CN"/>
        </w:rPr>
        <w:t>月</w:t>
      </w:r>
      <w:r>
        <w:rPr>
          <w:rFonts w:hint="eastAsia" w:ascii="仿宋_GB2312" w:hAnsi="仿宋_GB2312" w:cs="仿宋_GB2312"/>
          <w:color w:val="auto"/>
          <w:kern w:val="0"/>
          <w:sz w:val="32"/>
          <w:szCs w:val="32"/>
          <w:highlight w:val="none"/>
          <w:lang w:val="en-US" w:eastAsia="zh-CN"/>
        </w:rPr>
        <w:t>30</w:t>
      </w:r>
      <w:r>
        <w:rPr>
          <w:rFonts w:hint="eastAsia" w:ascii="仿宋_GB2312" w:hAnsi="仿宋_GB2312" w:eastAsia="仿宋_GB2312" w:cs="仿宋_GB2312"/>
          <w:color w:val="auto"/>
          <w:kern w:val="0"/>
          <w:sz w:val="32"/>
          <w:szCs w:val="32"/>
          <w:highlight w:val="none"/>
          <w:lang w:val="en-US" w:eastAsia="zh-CN"/>
        </w:rPr>
        <w:t>日</w:t>
      </w:r>
    </w:p>
    <w:p>
      <w:pPr>
        <w:pStyle w:val="6"/>
        <w:adjustRightInd w:val="0"/>
        <w:snapToGrid w:val="0"/>
        <w:spacing w:line="568" w:lineRule="exact"/>
        <w:ind w:firstLine="0"/>
        <w:rPr>
          <w:rFonts w:hint="eastAsia" w:ascii="仿宋_GB2312" w:hAnsi="仿宋_GB2312" w:eastAsia="仿宋_GB2312" w:cs="仿宋_GB2312"/>
          <w:color w:val="auto"/>
          <w:kern w:val="0"/>
          <w:sz w:val="32"/>
          <w:szCs w:val="32"/>
          <w:highlight w:val="none"/>
          <w:lang w:val="en-US" w:eastAsia="zh-CN"/>
        </w:rPr>
      </w:pPr>
    </w:p>
    <w:p>
      <w:pPr>
        <w:pStyle w:val="6"/>
        <w:adjustRightInd w:val="0"/>
        <w:snapToGrid w:val="0"/>
        <w:spacing w:line="568" w:lineRule="exact"/>
        <w:ind w:firstLine="0"/>
        <w:rPr>
          <w:rFonts w:hint="eastAsia" w:ascii="仿宋_GB2312" w:hAnsi="仿宋_GB2312" w:eastAsia="仿宋_GB2312" w:cs="仿宋_GB2312"/>
          <w:color w:val="auto"/>
          <w:kern w:val="0"/>
          <w:sz w:val="32"/>
          <w:szCs w:val="32"/>
          <w:highlight w:val="none"/>
          <w:lang w:val="en-US" w:eastAsia="zh-CN"/>
        </w:rPr>
      </w:pPr>
    </w:p>
    <w:p>
      <w:pPr>
        <w:pStyle w:val="6"/>
        <w:adjustRightInd w:val="0"/>
        <w:snapToGrid w:val="0"/>
        <w:spacing w:line="568" w:lineRule="exact"/>
        <w:ind w:firstLine="0"/>
        <w:rPr>
          <w:rFonts w:hint="eastAsia" w:ascii="仿宋_GB2312" w:hAnsi="仿宋_GB2312" w:eastAsia="仿宋_GB2312" w:cs="仿宋_GB2312"/>
          <w:color w:val="auto"/>
          <w:kern w:val="0"/>
          <w:sz w:val="32"/>
          <w:szCs w:val="32"/>
          <w:highlight w:val="none"/>
          <w:lang w:val="en-US" w:eastAsia="zh-CN"/>
        </w:rPr>
      </w:pPr>
    </w:p>
    <w:p>
      <w:pPr>
        <w:pStyle w:val="6"/>
        <w:adjustRightInd w:val="0"/>
        <w:snapToGrid w:val="0"/>
        <w:spacing w:line="568" w:lineRule="exact"/>
        <w:ind w:firstLine="0"/>
        <w:rPr>
          <w:rFonts w:hint="eastAsia" w:ascii="仿宋_GB2312" w:hAnsi="仿宋_GB2312" w:eastAsia="仿宋_GB2312" w:cs="仿宋_GB2312"/>
          <w:color w:val="auto"/>
          <w:kern w:val="0"/>
          <w:sz w:val="32"/>
          <w:szCs w:val="32"/>
          <w:highlight w:val="none"/>
          <w:lang w:val="en-US" w:eastAsia="zh-CN"/>
        </w:rPr>
      </w:pPr>
    </w:p>
    <w:p>
      <w:pPr>
        <w:pStyle w:val="6"/>
        <w:adjustRightInd w:val="0"/>
        <w:snapToGrid w:val="0"/>
        <w:spacing w:line="568" w:lineRule="exact"/>
        <w:ind w:firstLine="0"/>
        <w:rPr>
          <w:rFonts w:hint="eastAsia" w:ascii="仿宋_GB2312" w:hAnsi="仿宋_GB2312" w:eastAsia="仿宋_GB2312" w:cs="仿宋_GB2312"/>
          <w:color w:val="auto"/>
          <w:kern w:val="0"/>
          <w:sz w:val="32"/>
          <w:szCs w:val="32"/>
          <w:highlight w:val="none"/>
          <w:lang w:val="en-US" w:eastAsia="zh-CN"/>
        </w:rPr>
      </w:pPr>
    </w:p>
    <w:p>
      <w:pPr>
        <w:pStyle w:val="6"/>
        <w:adjustRightInd w:val="0"/>
        <w:snapToGrid w:val="0"/>
        <w:spacing w:line="568" w:lineRule="exact"/>
        <w:ind w:firstLine="0"/>
        <w:rPr>
          <w:rFonts w:hint="default" w:ascii="黑体" w:hAnsi="黑体" w:eastAsia="黑体" w:cs="黑体"/>
          <w:color w:val="auto"/>
          <w:kern w:val="0"/>
          <w:sz w:val="32"/>
          <w:szCs w:val="32"/>
          <w:highlight w:val="none"/>
          <w:lang w:val="en-US" w:eastAsia="zh-CN"/>
        </w:rPr>
        <w:sectPr>
          <w:footerReference r:id="rId3" w:type="default"/>
          <w:pgSz w:w="11906" w:h="16838"/>
          <w:pgMar w:top="1871" w:right="1531" w:bottom="1871" w:left="1531" w:header="851" w:footer="1417" w:gutter="0"/>
          <w:pgBorders>
            <w:top w:val="none" w:sz="0" w:space="0"/>
            <w:left w:val="none" w:sz="0" w:space="0"/>
            <w:bottom w:val="none" w:sz="0" w:space="0"/>
            <w:right w:val="none" w:sz="0" w:space="0"/>
          </w:pgBorders>
          <w:pgNumType w:fmt="decimal"/>
          <w:cols w:space="0" w:num="1"/>
          <w:rtlGutter w:val="0"/>
          <w:docGrid w:type="lines" w:linePitch="595" w:charSpace="0"/>
        </w:sectPr>
      </w:pPr>
      <w:r>
        <w:rPr>
          <w:rFonts w:hint="eastAsia" w:ascii="黑体" w:hAnsi="黑体" w:eastAsia="黑体" w:cs="黑体"/>
          <w:color w:val="auto"/>
          <w:kern w:val="0"/>
          <w:sz w:val="32"/>
          <w:szCs w:val="32"/>
          <w:highlight w:val="none"/>
          <w:lang w:val="en-US" w:eastAsia="zh-CN"/>
        </w:rPr>
        <w:t>公开方式：</w:t>
      </w:r>
      <w:r>
        <w:rPr>
          <w:rFonts w:hint="eastAsia" w:ascii="仿宋_GB2312" w:hAnsi="仿宋_GB2312" w:eastAsia="仿宋_GB2312" w:cs="仿宋_GB2312"/>
          <w:color w:val="auto"/>
          <w:kern w:val="0"/>
          <w:sz w:val="32"/>
          <w:szCs w:val="32"/>
          <w:highlight w:val="none"/>
          <w:lang w:val="en-US" w:eastAsia="zh-CN"/>
        </w:rPr>
        <w:t>主动公开</w:t>
      </w:r>
      <w:r>
        <w:rPr>
          <w:rFonts w:hint="eastAsia" w:ascii="黑体" w:hAnsi="黑体" w:eastAsia="黑体" w:cs="黑体"/>
          <w:color w:val="auto"/>
          <w:kern w:val="0"/>
          <w:sz w:val="32"/>
          <w:szCs w:val="32"/>
          <w:highlight w:val="none"/>
          <w:lang w:val="en-US" w:eastAsia="zh-CN"/>
        </w:rPr>
        <w:t xml:space="preserve"> </w:t>
      </w:r>
    </w:p>
    <w:p>
      <w:pPr>
        <w:widowControl w:val="0"/>
        <w:adjustRightInd w:val="0"/>
        <w:snapToGrid w:val="0"/>
        <w:spacing w:line="590" w:lineRule="exact"/>
        <w:ind w:firstLine="0" w:firstLineChars="0"/>
        <w:jc w:val="both"/>
        <w:outlineLvl w:val="9"/>
        <w:rPr>
          <w:rFonts w:hint="eastAsia" w:ascii="黑体" w:hAnsi="黑体" w:eastAsia="黑体" w:cs="黑体"/>
          <w:color w:val="auto"/>
          <w:kern w:val="0"/>
          <w:sz w:val="32"/>
          <w:szCs w:val="32"/>
          <w:highlight w:val="none"/>
          <w:lang w:val="en-US"/>
        </w:rPr>
      </w:pPr>
      <w:r>
        <w:rPr>
          <w:rStyle w:val="20"/>
          <w:rFonts w:hint="eastAsia" w:ascii="黑体" w:hAnsi="黑体" w:cs="黑体"/>
          <w:color w:val="auto"/>
          <w:kern w:val="0"/>
          <w:highlight w:val="none"/>
        </w:rPr>
        <w:t>附件1</w:t>
      </w:r>
      <w:r>
        <w:rPr>
          <w:rStyle w:val="20"/>
          <w:rFonts w:hint="eastAsia" w:cs="黑体"/>
          <w:color w:val="auto"/>
          <w:kern w:val="0"/>
          <w:highlight w:val="none"/>
          <w:lang w:val="en-US"/>
        </w:rPr>
        <w:t>-1</w:t>
      </w:r>
    </w:p>
    <w:p>
      <w:pPr>
        <w:adjustRightInd w:val="0"/>
        <w:snapToGrid w:val="0"/>
        <w:spacing w:line="590" w:lineRule="exact"/>
        <w:ind w:firstLine="643" w:firstLineChars="200"/>
        <w:jc w:val="both"/>
        <w:rPr>
          <w:rFonts w:hint="eastAsia" w:ascii="仿宋_GB2312" w:hAnsi="仿宋_GB2312" w:eastAsia="仿宋_GB2312" w:cs="仿宋_GB2312"/>
          <w:b/>
          <w:bCs/>
          <w:color w:val="auto"/>
          <w:kern w:val="0"/>
          <w:sz w:val="32"/>
          <w:szCs w:val="32"/>
          <w:highlight w:val="none"/>
        </w:rPr>
      </w:pPr>
    </w:p>
    <w:p>
      <w:pPr>
        <w:adjustRightInd w:val="0"/>
        <w:snapToGrid w:val="0"/>
        <w:spacing w:line="590" w:lineRule="exact"/>
        <w:ind w:firstLine="0" w:firstLineChars="0"/>
        <w:jc w:val="center"/>
        <w:outlineLvl w:val="9"/>
        <w:rPr>
          <w:rFonts w:hint="eastAsia" w:ascii="方正小标宋简体" w:hAnsi="方正小标宋简体" w:eastAsia="方正小标宋简体" w:cs="方正小标宋简体"/>
          <w:b w:val="0"/>
          <w:bCs w:val="0"/>
          <w:color w:val="auto"/>
          <w:kern w:val="0"/>
          <w:sz w:val="44"/>
          <w:szCs w:val="44"/>
          <w:highlight w:val="none"/>
        </w:rPr>
      </w:pPr>
      <w:r>
        <w:rPr>
          <w:rFonts w:hint="eastAsia" w:ascii="方正小标宋简体" w:hAnsi="方正小标宋简体" w:eastAsia="方正小标宋简体" w:cs="方正小标宋简体"/>
          <w:b w:val="0"/>
          <w:bCs w:val="0"/>
          <w:color w:val="auto"/>
          <w:kern w:val="0"/>
          <w:sz w:val="44"/>
          <w:szCs w:val="44"/>
          <w:highlight w:val="none"/>
        </w:rPr>
        <w:t>高标准农田建设项目储备指南</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一、建设要求</w:t>
      </w:r>
    </w:p>
    <w:p>
      <w:pPr>
        <w:adjustRightInd w:val="0"/>
        <w:snapToGrid w:val="0"/>
        <w:spacing w:line="590" w:lineRule="exact"/>
        <w:ind w:firstLine="640" w:firstLineChars="200"/>
        <w:rPr>
          <w:rFonts w:hint="default"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按照</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全国高标准农田建设规划</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2021</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2030年）》</w:t>
      </w:r>
      <w:r>
        <w:rPr>
          <w:rFonts w:hint="eastAsia" w:ascii="仿宋_GB2312" w:hAnsi="仿宋_GB2312" w:eastAsia="仿宋_GB2312" w:cs="仿宋_GB2312"/>
          <w:color w:val="auto"/>
          <w:kern w:val="0"/>
          <w:sz w:val="32"/>
          <w:szCs w:val="32"/>
          <w:highlight w:val="none"/>
        </w:rPr>
        <w:t>《农田建设项目管理办法》《高标准农田建设质量管理办法（试行）》和等相关文件要求，</w:t>
      </w:r>
      <w:r>
        <w:rPr>
          <w:rFonts w:hint="eastAsia" w:ascii="仿宋_GB2312" w:hAnsi="仿宋_GB2312" w:cs="仿宋_GB2312"/>
          <w:color w:val="auto"/>
          <w:kern w:val="0"/>
          <w:sz w:val="32"/>
          <w:szCs w:val="32"/>
          <w:highlight w:val="none"/>
          <w:lang w:val="en-US" w:eastAsia="zh-CN"/>
        </w:rPr>
        <w:t>衔接逐步把永久基本农田建成高标准农田实施方案，</w:t>
      </w:r>
      <w:r>
        <w:rPr>
          <w:rFonts w:hint="eastAsia" w:ascii="仿宋_GB2312" w:hAnsi="仿宋_GB2312" w:eastAsia="仿宋_GB2312" w:cs="仿宋_GB2312"/>
          <w:color w:val="auto"/>
          <w:kern w:val="0"/>
          <w:sz w:val="32"/>
          <w:szCs w:val="32"/>
          <w:highlight w:val="none"/>
        </w:rPr>
        <w:t>结合本地区耕地资源、水资源和农业生产实际，</w:t>
      </w:r>
      <w:r>
        <w:rPr>
          <w:rFonts w:hint="eastAsia" w:ascii="仿宋_GB2312" w:hAnsi="仿宋_GB2312" w:eastAsia="仿宋_GB2312" w:cs="仿宋_GB2312"/>
          <w:color w:val="auto"/>
          <w:kern w:val="0"/>
          <w:sz w:val="32"/>
          <w:szCs w:val="32"/>
          <w:highlight w:val="none"/>
          <w:lang w:eastAsia="zh-CN"/>
        </w:rPr>
        <w:t>分区分类分标准开展高标准农田建设</w:t>
      </w:r>
      <w:r>
        <w:rPr>
          <w:rFonts w:hint="eastAsia" w:ascii="仿宋_GB2312" w:hAnsi="仿宋_GB2312" w:eastAsia="仿宋_GB2312" w:cs="仿宋_GB2312"/>
          <w:color w:val="auto"/>
          <w:kern w:val="0"/>
          <w:sz w:val="32"/>
          <w:szCs w:val="32"/>
          <w:highlight w:val="none"/>
        </w:rPr>
        <w:t>，优化建设布局，合理确定建设顺序，优先将</w:t>
      </w:r>
      <w:r>
        <w:rPr>
          <w:rFonts w:hint="eastAsia" w:ascii="仿宋_GB2312" w:hAnsi="仿宋_GB2312" w:cs="仿宋_GB2312"/>
          <w:color w:val="auto"/>
          <w:kern w:val="0"/>
          <w:sz w:val="32"/>
          <w:szCs w:val="32"/>
          <w:highlight w:val="none"/>
          <w:lang w:eastAsia="zh-CN"/>
        </w:rPr>
        <w:t>粮食产能提升重点县（场）、平原地区、</w:t>
      </w:r>
      <w:r>
        <w:rPr>
          <w:rFonts w:hint="eastAsia" w:ascii="仿宋_GB2312" w:hAnsi="仿宋_GB2312" w:eastAsia="仿宋_GB2312" w:cs="仿宋_GB2312"/>
          <w:color w:val="auto"/>
          <w:kern w:val="0"/>
          <w:sz w:val="32"/>
          <w:szCs w:val="32"/>
          <w:highlight w:val="none"/>
        </w:rPr>
        <w:t>大中型灌区</w:t>
      </w:r>
      <w:r>
        <w:rPr>
          <w:rFonts w:hint="eastAsia" w:ascii="仿宋_GB2312" w:hAnsi="仿宋_GB2312" w:cs="仿宋_GB2312"/>
          <w:color w:val="auto"/>
          <w:kern w:val="0"/>
          <w:sz w:val="32"/>
          <w:szCs w:val="32"/>
          <w:highlight w:val="none"/>
          <w:lang w:eastAsia="zh-CN"/>
        </w:rPr>
        <w:t>等具备水利灌溉条件地区的</w:t>
      </w:r>
      <w:r>
        <w:rPr>
          <w:rFonts w:hint="eastAsia" w:ascii="仿宋_GB2312" w:hAnsi="仿宋_GB2312" w:eastAsia="仿宋_GB2312" w:cs="仿宋_GB2312"/>
          <w:color w:val="auto"/>
          <w:kern w:val="0"/>
          <w:sz w:val="32"/>
          <w:szCs w:val="32"/>
          <w:highlight w:val="none"/>
        </w:rPr>
        <w:t>永久基本农田建成高标准农田。</w:t>
      </w: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二、建设内容</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cs="仿宋_GB2312"/>
          <w:color w:val="auto"/>
          <w:kern w:val="0"/>
          <w:highlight w:val="none"/>
        </w:rPr>
        <w:t>按照《高标准农田建设通则》(GBT30600)等现行国家标准、行业标准和地方标准,以及近期印发的《关于分区域研究明确高标准农田建设标准和投入结构的通知》精神,聚焦解决生产障碍性因素,按照“缺什么、补什么”原则,合理确定建设内容,确保建设重点放在田内,优先开展田块整治、田间灌排体系、田间道路等建设,建一块、成一块</w:t>
      </w:r>
      <w:r>
        <w:rPr>
          <w:rFonts w:hint="eastAsia" w:ascii="仿宋_GB2312" w:hAnsi="仿宋_GB2312" w:eastAsia="仿宋_GB2312" w:cs="仿宋_GB2312"/>
          <w:color w:val="auto"/>
          <w:kern w:val="0"/>
          <w:sz w:val="32"/>
          <w:szCs w:val="32"/>
          <w:highlight w:val="none"/>
        </w:rPr>
        <w:t>。</w:t>
      </w: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三、储备条件</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纳入高标准农田建设项目储备库的项目应满足但不限于以下要求：</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（一）符合农田建设规划；</w:t>
      </w:r>
      <w:r>
        <w:rPr>
          <w:rFonts w:hint="eastAsia" w:ascii="仿宋_GB2312" w:hAnsi="仿宋_GB2312" w:eastAsia="仿宋_GB2312" w:cs="仿宋_GB2312"/>
          <w:b/>
          <w:bCs/>
          <w:color w:val="auto"/>
          <w:kern w:val="0"/>
          <w:sz w:val="32"/>
          <w:szCs w:val="32"/>
          <w:highlight w:val="none"/>
        </w:rPr>
        <w:t>分别明确新建高标准农田和改造提升高标准农田的面积</w:t>
      </w:r>
      <w:r>
        <w:rPr>
          <w:rFonts w:hint="eastAsia" w:ascii="仿宋_GB2312" w:hAnsi="仿宋_GB2312" w:eastAsia="仿宋_GB2312" w:cs="仿宋_GB2312"/>
          <w:color w:val="auto"/>
          <w:kern w:val="0"/>
          <w:sz w:val="32"/>
          <w:szCs w:val="32"/>
          <w:highlight w:val="none"/>
        </w:rPr>
        <w:t>；</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（二）项目选址、区域范围、建设规模、建设内容和资金需求科学合理；</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（三）项目区土地权属清晰，当地群众积极支持改善项目区农业生产条件；</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（四）地块相对集中连片，建设后能有效改善生产条件，提高粮食产能；</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（五）项目应研究论证充分,前期工作完备,具备投资下达后及时组织实施的条件。</w:t>
      </w: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四、中央投资规模</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lang w:eastAsia="zh-CN"/>
        </w:rPr>
        <w:t>中央预算内投资、超长期特别国债资金对“十四五”高标</w:t>
      </w:r>
    </w:p>
    <w:p>
      <w:pPr>
        <w:adjustRightInd w:val="0"/>
        <w:snapToGrid w:val="0"/>
        <w:spacing w:line="590" w:lineRule="exact"/>
        <w:ind w:firstLine="0" w:firstLineChars="0"/>
        <w:rPr>
          <w:rFonts w:hint="eastAsia" w:ascii="仿宋_GB2312" w:hAnsi="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lang w:eastAsia="zh-CN"/>
        </w:rPr>
        <w:t>准农田建设(包括大豆油料及优质棉生产基地等)继续给予支持,亩均中央补助标准按照《农业中央预算内投资专项管理办法》(发改农经规〔2024〕744号)有关规定执行。鼓励各地健全多元投入保障机制,加强高标准农田建设投入保障</w:t>
      </w:r>
      <w:r>
        <w:rPr>
          <w:rFonts w:hint="eastAsia" w:ascii="仿宋_GB2312" w:hAnsi="仿宋_GB2312" w:eastAsia="仿宋_GB2312" w:cs="仿宋_GB2312"/>
          <w:color w:val="auto"/>
          <w:kern w:val="0"/>
          <w:sz w:val="32"/>
          <w:szCs w:val="32"/>
          <w:highlight w:val="none"/>
        </w:rPr>
        <w:t>。</w:t>
      </w:r>
    </w:p>
    <w:p>
      <w:pPr>
        <w:pStyle w:val="21"/>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五、联系方式</w:t>
      </w:r>
    </w:p>
    <w:p>
      <w:pPr>
        <w:pStyle w:val="7"/>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农田建设管理处</w:t>
      </w:r>
    </w:p>
    <w:p>
      <w:pPr>
        <w:pStyle w:val="7"/>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联 系 人：</w:t>
      </w:r>
      <w:r>
        <w:rPr>
          <w:rFonts w:hint="eastAsia" w:ascii="仿宋_GB2312" w:hAnsi="仿宋_GB2312" w:cs="仿宋_GB2312"/>
          <w:color w:val="auto"/>
          <w:kern w:val="0"/>
          <w:sz w:val="32"/>
          <w:szCs w:val="32"/>
          <w:highlight w:val="none"/>
          <w:lang w:eastAsia="zh-CN"/>
        </w:rPr>
        <w:t>湛杰</w:t>
      </w:r>
      <w:r>
        <w:rPr>
          <w:rFonts w:hint="eastAsia" w:ascii="仿宋_GB2312" w:hAnsi="仿宋_GB2312" w:eastAsia="仿宋_GB2312" w:cs="仿宋_GB2312"/>
          <w:color w:val="auto"/>
          <w:kern w:val="0"/>
          <w:sz w:val="32"/>
          <w:szCs w:val="32"/>
          <w:highlight w:val="none"/>
        </w:rPr>
        <w:t xml:space="preserve">   </w:t>
      </w:r>
    </w:p>
    <w:p>
      <w:pPr>
        <w:pStyle w:val="7"/>
        <w:adjustRightInd w:val="0"/>
        <w:snapToGrid w:val="0"/>
        <w:spacing w:line="590" w:lineRule="exact"/>
        <w:ind w:firstLine="640" w:firstLineChars="200"/>
        <w:rPr>
          <w:rFonts w:hint="eastAsia" w:ascii="仿宋_GB2312" w:hAnsi="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联系电话：</w:t>
      </w:r>
      <w:r>
        <w:rPr>
          <w:rFonts w:hint="eastAsia" w:ascii="仿宋_GB2312" w:hAnsi="仿宋_GB2312" w:cs="仿宋_GB2312"/>
          <w:color w:val="auto"/>
          <w:kern w:val="0"/>
          <w:sz w:val="32"/>
          <w:szCs w:val="32"/>
          <w:highlight w:val="none"/>
          <w:lang w:val="en-US" w:eastAsia="zh-CN"/>
        </w:rPr>
        <w:t>020-37288775</w:t>
      </w:r>
    </w:p>
    <w:p>
      <w:pPr>
        <w:pStyle w:val="7"/>
        <w:adjustRightInd w:val="0"/>
        <w:snapToGrid w:val="0"/>
        <w:spacing w:line="590" w:lineRule="exact"/>
        <w:ind w:firstLine="640" w:firstLineChars="200"/>
        <w:rPr>
          <w:rFonts w:hint="eastAsia" w:ascii="仿宋_GB2312" w:hAnsi="仿宋_GB2312" w:cs="仿宋_GB2312"/>
          <w:color w:val="auto"/>
          <w:kern w:val="0"/>
          <w:sz w:val="32"/>
          <w:szCs w:val="32"/>
          <w:highlight w:val="none"/>
          <w:lang w:val="en-US" w:eastAsia="zh-CN"/>
        </w:rPr>
      </w:pPr>
    </w:p>
    <w:p>
      <w:pPr>
        <w:adjustRightInd w:val="0"/>
        <w:snapToGrid w:val="0"/>
        <w:spacing w:line="590" w:lineRule="exact"/>
        <w:rPr>
          <w:rFonts w:hint="eastAsia" w:ascii="黑体" w:hAnsi="黑体" w:eastAsia="黑体" w:cs="黑体"/>
          <w:color w:val="auto"/>
          <w:kern w:val="0"/>
          <w:sz w:val="32"/>
          <w:szCs w:val="32"/>
          <w:highlight w:val="none"/>
        </w:rPr>
      </w:pPr>
    </w:p>
    <w:p>
      <w:pPr>
        <w:adjustRightInd w:val="0"/>
        <w:snapToGrid w:val="0"/>
        <w:spacing w:line="590" w:lineRule="exact"/>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rPr>
        <w:t>附件</w:t>
      </w:r>
      <w:r>
        <w:rPr>
          <w:rFonts w:hint="eastAsia" w:ascii="黑体" w:hAnsi="黑体" w:eastAsia="黑体" w:cs="黑体"/>
          <w:color w:val="auto"/>
          <w:kern w:val="0"/>
          <w:sz w:val="32"/>
          <w:szCs w:val="32"/>
          <w:highlight w:val="none"/>
          <w:lang w:val="en-US" w:eastAsia="zh-CN"/>
        </w:rPr>
        <w:t>1</w:t>
      </w:r>
      <w:r>
        <w:rPr>
          <w:rFonts w:hint="eastAsia" w:ascii="黑体" w:hAnsi="黑体" w:eastAsia="黑体" w:cs="黑体"/>
          <w:color w:val="auto"/>
          <w:kern w:val="0"/>
          <w:sz w:val="32"/>
          <w:szCs w:val="32"/>
          <w:highlight w:val="none"/>
        </w:rPr>
        <w:t>-</w:t>
      </w:r>
      <w:r>
        <w:rPr>
          <w:rFonts w:hint="eastAsia" w:ascii="黑体" w:hAnsi="黑体" w:eastAsia="黑体" w:cs="黑体"/>
          <w:color w:val="auto"/>
          <w:kern w:val="0"/>
          <w:sz w:val="32"/>
          <w:szCs w:val="32"/>
          <w:highlight w:val="none"/>
          <w:lang w:val="en-US" w:eastAsia="zh-CN"/>
        </w:rPr>
        <w:t>2-1</w:t>
      </w:r>
    </w:p>
    <w:p>
      <w:pPr>
        <w:widowControl w:val="0"/>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 xml:space="preserve"> </w:t>
      </w:r>
    </w:p>
    <w:p>
      <w:pPr>
        <w:adjustRightInd w:val="0"/>
        <w:snapToGrid w:val="0"/>
        <w:spacing w:line="590" w:lineRule="exact"/>
        <w:ind w:firstLine="0" w:firstLineChars="0"/>
        <w:jc w:val="center"/>
        <w:outlineLvl w:val="9"/>
        <w:rPr>
          <w:rFonts w:hint="eastAsia" w:ascii="方正小标宋简体" w:hAnsi="方正小标宋简体" w:eastAsia="方正小标宋简体" w:cs="方正小标宋简体"/>
          <w:b w:val="0"/>
          <w:bCs w:val="0"/>
          <w:color w:val="auto"/>
          <w:kern w:val="0"/>
          <w:sz w:val="44"/>
          <w:szCs w:val="44"/>
          <w:highlight w:val="none"/>
        </w:rPr>
      </w:pPr>
      <w:r>
        <w:rPr>
          <w:rFonts w:hint="eastAsia" w:ascii="方正小标宋简体" w:hAnsi="方正小标宋简体" w:eastAsia="方正小标宋简体" w:cs="方正小标宋简体"/>
          <w:b w:val="0"/>
          <w:bCs w:val="0"/>
          <w:color w:val="auto"/>
          <w:kern w:val="0"/>
          <w:sz w:val="44"/>
          <w:szCs w:val="44"/>
          <w:highlight w:val="none"/>
        </w:rPr>
        <w:t>现代种业提升工程项目储备指南</w:t>
      </w:r>
    </w:p>
    <w:p>
      <w:pPr>
        <w:adjustRightInd w:val="0"/>
        <w:snapToGrid w:val="0"/>
        <w:spacing w:line="590" w:lineRule="exact"/>
        <w:ind w:firstLine="0" w:firstLineChars="0"/>
        <w:jc w:val="center"/>
        <w:rPr>
          <w:rFonts w:hint="eastAsia" w:ascii="楷体_GB2312" w:hAnsi="楷体_GB2312" w:eastAsia="楷体_GB2312" w:cs="楷体_GB2312"/>
          <w:color w:val="auto"/>
          <w:kern w:val="0"/>
          <w:sz w:val="32"/>
          <w:szCs w:val="32"/>
          <w:highlight w:val="none"/>
        </w:rPr>
      </w:pPr>
      <w:r>
        <w:rPr>
          <w:rFonts w:hint="eastAsia" w:ascii="楷体_GB2312" w:hAnsi="楷体_GB2312" w:eastAsia="楷体_GB2312" w:cs="楷体_GB2312"/>
          <w:color w:val="auto"/>
          <w:kern w:val="0"/>
          <w:sz w:val="32"/>
          <w:szCs w:val="32"/>
          <w:highlight w:val="none"/>
        </w:rPr>
        <w:t>（农作物和畜禽种业类）</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bookmarkStart w:id="0" w:name="_Toc468716038"/>
      <w:r>
        <w:rPr>
          <w:rFonts w:hint="eastAsia" w:ascii="仿宋_GB2312" w:hAnsi="仿宋_GB2312" w:eastAsia="仿宋_GB2312" w:cs="仿宋_GB2312"/>
          <w:color w:val="auto"/>
          <w:kern w:val="0"/>
          <w:sz w:val="32"/>
          <w:szCs w:val="32"/>
          <w:highlight w:val="none"/>
        </w:rPr>
        <w:t>2025 年现代种业提升工程重点支持作物、畜禽种质资源保护、育种创新、测试评价和制(繁)种等种业关键环节能力提升项目建设。</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一、农作物现代种业提升工程项目</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（一）国家农作物种质资源中期库（资源圃）项目</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重点新建、改扩建一批国家农作物种质资源中期库、中转隔离基地和种质资源圃。项目建成后，种质资源保护</w:t>
      </w:r>
      <w:r>
        <w:rPr>
          <w:rFonts w:hint="eastAsia" w:ascii="仿宋_GB2312" w:hAnsi="仿宋_GB2312" w:eastAsia="仿宋_GB2312" w:cs="仿宋_GB2312"/>
          <w:snapToGrid w:val="0"/>
          <w:color w:val="auto"/>
          <w:spacing w:val="-6"/>
          <w:kern w:val="0"/>
          <w:sz w:val="32"/>
          <w:szCs w:val="32"/>
          <w:highlight w:val="none"/>
        </w:rPr>
        <w:t>体系进一步完善，收集保存、鉴定评价、分发共享能力大幅度提高。</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22"/>
          <w:highlight w:val="none"/>
        </w:rPr>
        <w:t>承担特定作物种类和特定区域种质资源、以及无性繁殖作物和多年生作物保存和分发共享任务，开展资源特性鉴定评价、引种观察工作。建设内容包括中期库库区、入库前种子加工处理室、分析检测室，配置种质资源基因型鉴定系统、田间表型物联网数据获取与处理系统、种质资源信息共享网络服务系统等设施装备、农机具及繁殖用地田间工程等。</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color w:val="auto"/>
          <w:kern w:val="0"/>
          <w:sz w:val="32"/>
          <w:szCs w:val="2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22"/>
          <w:highlight w:val="none"/>
        </w:rPr>
        <w:t>在各省已自主建设的种质资源库基础上，择优支持1个进一步扩大规模、拓展功能，布局在沪（都市特色作物）。改扩建国家中期库</w:t>
      </w:r>
      <w:r>
        <w:rPr>
          <w:rFonts w:hint="eastAsia" w:ascii="仿宋_GB2312" w:hAnsi="仿宋_GB2312" w:cs="仿宋_GB2312"/>
          <w:color w:val="auto"/>
          <w:kern w:val="0"/>
          <w:sz w:val="32"/>
          <w:szCs w:val="22"/>
          <w:highlight w:val="none"/>
          <w:lang w:val="en-US" w:eastAsia="zh-CN"/>
        </w:rPr>
        <w:t>4</w:t>
      </w:r>
      <w:r>
        <w:rPr>
          <w:rFonts w:hint="eastAsia" w:ascii="仿宋_GB2312" w:hAnsi="仿宋_GB2312" w:eastAsia="仿宋_GB2312" w:cs="仿宋_GB2312"/>
          <w:color w:val="auto"/>
          <w:kern w:val="0"/>
          <w:sz w:val="32"/>
          <w:szCs w:val="22"/>
          <w:highlight w:val="none"/>
        </w:rPr>
        <w:t>个，布局在京（粮食、农业微生物）、豫（棉花）、藏（青藏高原作物）</w:t>
      </w:r>
      <w:r>
        <w:rPr>
          <w:rFonts w:hint="eastAsia" w:ascii="仿宋_GB2312" w:hAnsi="仿宋_GB2312" w:cs="仿宋_GB2312"/>
          <w:color w:val="auto"/>
          <w:kern w:val="0"/>
          <w:sz w:val="32"/>
          <w:szCs w:val="22"/>
          <w:highlight w:val="none"/>
          <w:lang w:val="en-US" w:eastAsia="zh-CN"/>
        </w:rPr>
        <w:t>3</w:t>
      </w:r>
      <w:r>
        <w:rPr>
          <w:rFonts w:hint="eastAsia" w:ascii="仿宋_GB2312" w:hAnsi="仿宋_GB2312" w:eastAsia="仿宋_GB2312" w:cs="仿宋_GB2312"/>
          <w:color w:val="auto"/>
          <w:kern w:val="0"/>
          <w:sz w:val="32"/>
          <w:szCs w:val="22"/>
          <w:highlight w:val="none"/>
        </w:rPr>
        <w:t>省（区、市），其中布局在京、豫的</w:t>
      </w:r>
      <w:r>
        <w:rPr>
          <w:rFonts w:hint="eastAsia" w:ascii="仿宋_GB2312" w:hAnsi="仿宋_GB2312" w:cs="仿宋_GB2312"/>
          <w:color w:val="auto"/>
          <w:kern w:val="0"/>
          <w:sz w:val="32"/>
          <w:szCs w:val="22"/>
          <w:highlight w:val="none"/>
          <w:lang w:val="en-US" w:eastAsia="zh-CN"/>
        </w:rPr>
        <w:t>3</w:t>
      </w:r>
      <w:r>
        <w:rPr>
          <w:rFonts w:hint="eastAsia" w:ascii="仿宋_GB2312" w:hAnsi="仿宋_GB2312" w:eastAsia="仿宋_GB2312" w:cs="仿宋_GB2312"/>
          <w:color w:val="auto"/>
          <w:kern w:val="0"/>
          <w:sz w:val="32"/>
          <w:szCs w:val="22"/>
          <w:highlight w:val="none"/>
        </w:rPr>
        <w:t>个项目由农业农村部直属单位承担建设。新建国家农作物种质资源中转隔离基地</w:t>
      </w:r>
      <w:r>
        <w:rPr>
          <w:rFonts w:hint="eastAsia" w:ascii="仿宋_GB2312" w:hAnsi="仿宋_GB2312" w:cs="仿宋_GB2312"/>
          <w:color w:val="auto"/>
          <w:kern w:val="0"/>
          <w:sz w:val="32"/>
          <w:szCs w:val="22"/>
          <w:highlight w:val="none"/>
          <w:lang w:val="en-US" w:eastAsia="zh-CN"/>
        </w:rPr>
        <w:t>1</w:t>
      </w:r>
      <w:r>
        <w:rPr>
          <w:rFonts w:hint="eastAsia" w:ascii="仿宋_GB2312" w:hAnsi="仿宋_GB2312" w:eastAsia="仿宋_GB2312" w:cs="仿宋_GB2312"/>
          <w:color w:val="auto"/>
          <w:kern w:val="0"/>
          <w:sz w:val="32"/>
          <w:szCs w:val="22"/>
          <w:highlight w:val="none"/>
        </w:rPr>
        <w:t>个，布局在滇。建设国家动植物基因库1个，布局在琼，由农业农村部直属单位承担建设。</w:t>
      </w:r>
      <w:r>
        <w:rPr>
          <w:rFonts w:hint="eastAsia" w:ascii="仿宋_GB2312" w:hAnsi="仿宋_GB2312" w:eastAsia="仿宋_GB2312" w:cs="仿宋_GB2312"/>
          <w:color w:val="000000"/>
          <w:kern w:val="0"/>
          <w:sz w:val="32"/>
          <w:szCs w:val="22"/>
          <w:highlight w:val="none"/>
        </w:rPr>
        <w:t>新建和改扩建种质资源圃</w:t>
      </w:r>
      <w:r>
        <w:rPr>
          <w:rFonts w:hint="eastAsia" w:ascii="仿宋_GB2312" w:hAnsi="仿宋_GB2312" w:cs="仿宋_GB2312"/>
          <w:color w:val="000000"/>
          <w:kern w:val="0"/>
          <w:sz w:val="32"/>
          <w:szCs w:val="22"/>
          <w:highlight w:val="none"/>
          <w:lang w:val="en-US" w:eastAsia="zh-CN"/>
        </w:rPr>
        <w:t>6</w:t>
      </w:r>
      <w:r>
        <w:rPr>
          <w:rFonts w:hint="eastAsia" w:ascii="仿宋_GB2312" w:hAnsi="仿宋_GB2312" w:eastAsia="仿宋_GB2312" w:cs="仿宋_GB2312"/>
          <w:color w:val="000000"/>
          <w:kern w:val="0"/>
          <w:sz w:val="32"/>
          <w:szCs w:val="22"/>
          <w:highlight w:val="none"/>
        </w:rPr>
        <w:t>个，其中新建</w:t>
      </w:r>
      <w:r>
        <w:rPr>
          <w:rFonts w:hint="eastAsia" w:ascii="仿宋_GB2312" w:hAnsi="仿宋_GB2312" w:cs="仿宋_GB2312"/>
          <w:color w:val="000000"/>
          <w:kern w:val="0"/>
          <w:sz w:val="32"/>
          <w:szCs w:val="22"/>
          <w:highlight w:val="none"/>
          <w:lang w:val="en-US" w:eastAsia="zh-CN"/>
        </w:rPr>
        <w:t>1</w:t>
      </w:r>
      <w:r>
        <w:rPr>
          <w:rFonts w:hint="eastAsia" w:ascii="仿宋_GB2312" w:hAnsi="仿宋_GB2312" w:eastAsia="仿宋_GB2312" w:cs="仿宋_GB2312"/>
          <w:color w:val="000000"/>
          <w:kern w:val="0"/>
          <w:sz w:val="32"/>
          <w:szCs w:val="22"/>
          <w:highlight w:val="none"/>
        </w:rPr>
        <w:t>个，由农业农村部直属单位承担建设，布局在京；改扩建</w:t>
      </w:r>
      <w:r>
        <w:rPr>
          <w:rFonts w:hint="eastAsia" w:ascii="仿宋_GB2312" w:hAnsi="仿宋_GB2312" w:cs="仿宋_GB2312"/>
          <w:color w:val="000000"/>
          <w:kern w:val="0"/>
          <w:sz w:val="32"/>
          <w:szCs w:val="22"/>
          <w:highlight w:val="none"/>
          <w:lang w:val="en-US" w:eastAsia="zh-CN"/>
        </w:rPr>
        <w:t>5</w:t>
      </w:r>
      <w:r>
        <w:rPr>
          <w:rFonts w:hint="eastAsia" w:ascii="仿宋_GB2312" w:hAnsi="仿宋_GB2312" w:eastAsia="仿宋_GB2312" w:cs="仿宋_GB2312"/>
          <w:color w:val="000000"/>
          <w:kern w:val="0"/>
          <w:sz w:val="32"/>
          <w:szCs w:val="22"/>
          <w:highlight w:val="none"/>
        </w:rPr>
        <w:t>个，</w:t>
      </w:r>
      <w:r>
        <w:rPr>
          <w:rFonts w:hint="eastAsia" w:ascii="仿宋_GB2312" w:hAnsi="仿宋_GB2312" w:cs="仿宋_GB2312"/>
          <w:color w:val="000000"/>
          <w:kern w:val="0"/>
          <w:sz w:val="32"/>
          <w:szCs w:val="22"/>
          <w:highlight w:val="none"/>
          <w:lang w:val="en-US" w:eastAsia="zh-CN"/>
        </w:rPr>
        <w:t>3</w:t>
      </w:r>
      <w:r>
        <w:rPr>
          <w:rFonts w:hint="eastAsia" w:ascii="仿宋_GB2312" w:hAnsi="仿宋_GB2312" w:eastAsia="仿宋_GB2312" w:cs="仿宋_GB2312"/>
          <w:color w:val="000000"/>
          <w:kern w:val="0"/>
          <w:sz w:val="32"/>
          <w:szCs w:val="22"/>
          <w:highlight w:val="none"/>
        </w:rPr>
        <w:t>个项目由农业农村部直属单位承担建设，布局在京、豫、粤</w:t>
      </w:r>
      <w:r>
        <w:rPr>
          <w:rFonts w:hint="eastAsia" w:ascii="仿宋_GB2312" w:hAnsi="仿宋_GB2312" w:cs="仿宋_GB2312"/>
          <w:color w:val="000000"/>
          <w:kern w:val="0"/>
          <w:sz w:val="32"/>
          <w:szCs w:val="22"/>
          <w:highlight w:val="none"/>
          <w:lang w:val="en-US" w:eastAsia="zh-CN"/>
        </w:rPr>
        <w:t>3</w:t>
      </w:r>
      <w:r>
        <w:rPr>
          <w:rFonts w:hint="eastAsia" w:ascii="仿宋_GB2312" w:hAnsi="仿宋_GB2312" w:eastAsia="仿宋_GB2312" w:cs="仿宋_GB2312"/>
          <w:color w:val="000000"/>
          <w:kern w:val="0"/>
          <w:sz w:val="32"/>
          <w:szCs w:val="22"/>
          <w:highlight w:val="none"/>
        </w:rPr>
        <w:t>省（市），2个布局在京、鄂2省（市）。</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种质资源中期库（资源圃）建设项目由承担国家种质资源保存任务的国家或省级科研教学、高等院校和农技推广机构建设，申报单位应拥有种质资源保存、评价的技术队伍；申报特色作物种质资源圃的项目单位，应具有该特色种质资源收集保存与鉴定评价的科研支撑队伍，拥有500亩以上自有土地用于种质资源圃建设，已收集保存一批该特色作物种质资源，且该区域没有已建成的同作物类型的国家种质资源圃；申请改扩建项目申报单位应具备繁殖材料保存能力；农作物种质资源中转隔离基地项目申报单位，应具有农作物种质资源保存与鉴定评价、病虫害检验检疫的科研支撑队伍，有隔离检验所需的种植区域；国家动植物基因库建设项目申报单位应为农业农村部直属单位。</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bookmarkStart w:id="1" w:name="_Hlk77153441"/>
      <w:r>
        <w:rPr>
          <w:rFonts w:hint="eastAsia" w:ascii="仿宋_GB2312" w:hAnsi="仿宋_GB2312" w:eastAsia="仿宋_GB2312" w:cs="仿宋_GB2312"/>
          <w:color w:val="auto"/>
          <w:kern w:val="0"/>
          <w:sz w:val="32"/>
          <w:szCs w:val="32"/>
          <w:highlight w:val="none"/>
        </w:rPr>
        <w:t>项目中央投资不低于1000万元，东部、中部、西部、东北地区分别不超过项目总投资的70%、80%、90%、90%，西藏自治区和部直属单位项目全部为中央投资。</w:t>
      </w:r>
      <w:bookmarkEnd w:id="1"/>
      <w:r>
        <w:rPr>
          <w:rFonts w:hint="eastAsia" w:ascii="仿宋_GB2312" w:hAnsi="仿宋_GB2312" w:eastAsia="仿宋_GB2312" w:cs="仿宋_GB2312"/>
          <w:color w:val="auto"/>
          <w:kern w:val="0"/>
          <w:sz w:val="32"/>
          <w:szCs w:val="32"/>
          <w:highlight w:val="none"/>
        </w:rPr>
        <w:t>其中，云南新建国家农作物种质资源中转隔离基地中央投资不高于4950万元；国家动植物基因库中央投资不高于6000万元；新建种质资源中期库中央投资不高于2800万元，改扩建种质资源中期库中央投资不高于2000万元；由部直属单位承建的新建种质资源圃中央投资不高于1700万元，由地方承建的新建种质资源圃中央投资不高于1600万元；由部直属单位承建的改扩建种质资源圃中央投资不高于1800万元，由地方承建的改扩建种质资源圃中央投资不高于1700万元。</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（二）农作物育种创新能力提升项目</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发挥种业企业在现代种业发展中的主体作用，形成更加紧密的科企合作关系，通过改善育种创新条件，加快构建商业化育种创新体系。支持企业开展高效育种，提升种质资源保存利用、育种科研创新、种子生产加工、良种推广服务等能力，培育具有国际竞争力的种业企业航母型和特色优势种业企业。推动海南南繁科研育种基地和“南繁硅谷”建设，提升南繁育种水平，加快新品种培育和品种更新换代。</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主要建设内容包括农作物育种测试设施设备、表型与基因型鉴定设施设备及田间工程建设，低温种子库、检测实验室、农机具库等土建工程，支持企业在本地或异地建设用于育种创新的核心育种站、品种测试点等田间工程，以及实验分析设备、农机具、仪器设备购置等。</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新建2个分子育种表型与基因型鉴定平台,布局在京、琼2省(市);改扩建</w:t>
      </w:r>
      <w:r>
        <w:rPr>
          <w:rFonts w:hint="eastAsia" w:ascii="仿宋_GB2312" w:hAnsi="仿宋_GB2312" w:cs="仿宋_GB2312"/>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rPr>
        <w:t>个分子育种创新服务平台,布局在京。规划育种创新项目共16个,包括水稻4个,布局在辽、黑、桂、琼4省(区);玉米1个,布局在京;大豆、油料、花生、油茶等油料作物1个,布局在鄂;杂粮杂豆(含青稞)1个,布局在陕;棉糖麻2个,布局在桂、滇2省(区);果菜茶(含食用菌、花卉)4个,布局在京、沪、闽、新4省(区、市);热带作物3个,布局在粤、桂、琼3省(区);其他品种的育种创新项目根据我国经济发展需要确定。</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申报分子育种创新服务平台和表型与基因型鉴定平台单位,要求有建设用地或自有房产可用于试验业务;具有种质资源表型基因型鉴定、分子育种、遗传育种、生物信息、大数据及物联网的专业技术人员;具有良好的财务状况,能够提供必需的运行经费支持。申报农作物种业育种创新项目,需具备以下8个条件:</w:t>
      </w:r>
      <w:r>
        <w:rPr>
          <w:rFonts w:hint="eastAsia" w:ascii="仿宋_GB2312" w:hAnsi="仿宋_GB2312" w:eastAsia="仿宋_GB2312" w:cs="仿宋_GB2312"/>
          <w:color w:val="auto"/>
          <w:kern w:val="0"/>
          <w:sz w:val="32"/>
          <w:szCs w:val="32"/>
          <w:highlight w:val="none"/>
        </w:rPr>
        <w:fldChar w:fldCharType="begin"/>
      </w:r>
      <w:r>
        <w:rPr>
          <w:rFonts w:hint="eastAsia" w:ascii="仿宋_GB2312" w:hAnsi="仿宋_GB2312" w:eastAsia="仿宋_GB2312" w:cs="仿宋_GB2312"/>
          <w:color w:val="auto"/>
          <w:kern w:val="0"/>
          <w:sz w:val="32"/>
          <w:szCs w:val="32"/>
          <w:highlight w:val="none"/>
        </w:rPr>
        <w:instrText xml:space="preserve"> = 1 \* GB3 \* MERGEFORMAT </w:instrText>
      </w:r>
      <w:r>
        <w:rPr>
          <w:rFonts w:hint="eastAsia" w:ascii="仿宋_GB2312" w:hAnsi="仿宋_GB2312" w:eastAsia="仿宋_GB2312" w:cs="仿宋_GB2312"/>
          <w:color w:val="auto"/>
          <w:kern w:val="0"/>
          <w:sz w:val="32"/>
          <w:szCs w:val="32"/>
          <w:highlight w:val="none"/>
        </w:rPr>
        <w:fldChar w:fldCharType="separate"/>
      </w:r>
      <w:r>
        <w:rPr>
          <w:rFonts w:hint="eastAsia" w:ascii="仿宋_GB2312" w:hAnsi="仿宋_GB2312" w:cs="仿宋_GB2312"/>
        </w:rPr>
        <w:t>①</w:t>
      </w:r>
      <w:r>
        <w:rPr>
          <w:rFonts w:hint="eastAsia" w:ascii="仿宋_GB2312" w:hAnsi="仿宋_GB2312" w:eastAsia="仿宋_GB2312" w:cs="仿宋_GB2312"/>
          <w:color w:val="auto"/>
          <w:kern w:val="0"/>
          <w:sz w:val="32"/>
          <w:szCs w:val="32"/>
          <w:highlight w:val="none"/>
        </w:rPr>
        <w:fldChar w:fldCharType="end"/>
      </w:r>
      <w:r>
        <w:rPr>
          <w:rFonts w:hint="eastAsia" w:ascii="仿宋_GB2312" w:hAnsi="仿宋_GB2312" w:eastAsia="仿宋_GB2312" w:cs="仿宋_GB2312"/>
          <w:color w:val="auto"/>
          <w:kern w:val="0"/>
          <w:sz w:val="32"/>
          <w:szCs w:val="32"/>
          <w:highlight w:val="none"/>
        </w:rPr>
        <w:t>已开展科企合作,与科研院所或高等院校签订长期科研合作协议,明确种业科研成果转化方式,其中参加国家或省级良种联合攻关的企业优先;</w:t>
      </w:r>
      <w:r>
        <w:rPr>
          <w:rFonts w:hint="eastAsia" w:ascii="仿宋_GB2312" w:hAnsi="仿宋_GB2312" w:eastAsia="仿宋_GB2312" w:cs="仿宋_GB2312"/>
          <w:color w:val="auto"/>
          <w:kern w:val="0"/>
          <w:sz w:val="32"/>
          <w:szCs w:val="32"/>
          <w:highlight w:val="none"/>
        </w:rPr>
        <w:fldChar w:fldCharType="begin"/>
      </w:r>
      <w:r>
        <w:rPr>
          <w:rFonts w:hint="eastAsia" w:ascii="仿宋_GB2312" w:hAnsi="仿宋_GB2312" w:eastAsia="仿宋_GB2312" w:cs="仿宋_GB2312"/>
          <w:color w:val="auto"/>
          <w:kern w:val="0"/>
          <w:sz w:val="32"/>
          <w:szCs w:val="32"/>
          <w:highlight w:val="none"/>
        </w:rPr>
        <w:instrText xml:space="preserve"> = 2 \* GB3 \* MERGEFORMAT </w:instrText>
      </w:r>
      <w:r>
        <w:rPr>
          <w:rFonts w:hint="eastAsia" w:ascii="仿宋_GB2312" w:hAnsi="仿宋_GB2312" w:eastAsia="仿宋_GB2312" w:cs="仿宋_GB2312"/>
          <w:color w:val="auto"/>
          <w:kern w:val="0"/>
          <w:sz w:val="32"/>
          <w:szCs w:val="32"/>
          <w:highlight w:val="none"/>
        </w:rPr>
        <w:fldChar w:fldCharType="separate"/>
      </w:r>
      <w:r>
        <w:rPr>
          <w:rFonts w:hint="eastAsia" w:ascii="仿宋_GB2312" w:hAnsi="仿宋_GB2312" w:cs="仿宋_GB2312"/>
        </w:rPr>
        <w:t>②</w:t>
      </w:r>
      <w:r>
        <w:rPr>
          <w:rFonts w:hint="eastAsia" w:ascii="仿宋_GB2312" w:hAnsi="仿宋_GB2312" w:eastAsia="仿宋_GB2312" w:cs="仿宋_GB2312"/>
          <w:color w:val="auto"/>
          <w:kern w:val="0"/>
          <w:sz w:val="32"/>
          <w:szCs w:val="32"/>
          <w:highlight w:val="none"/>
        </w:rPr>
        <w:fldChar w:fldCharType="end"/>
      </w:r>
      <w:r>
        <w:rPr>
          <w:rFonts w:hint="eastAsia" w:ascii="仿宋_GB2312" w:hAnsi="仿宋_GB2312" w:eastAsia="仿宋_GB2312" w:cs="仿宋_GB2312"/>
          <w:color w:val="auto"/>
          <w:kern w:val="0"/>
          <w:sz w:val="32"/>
          <w:szCs w:val="32"/>
          <w:highlight w:val="none"/>
        </w:rPr>
        <w:t>具有专门的育种机构,在全国不同生态区有测试点 30个以上和相应的播种、收获、考种设施设备;</w:t>
      </w:r>
      <w:r>
        <w:rPr>
          <w:rFonts w:hint="eastAsia" w:ascii="仿宋_GB2312" w:hAnsi="仿宋_GB2312" w:eastAsia="仿宋_GB2312" w:cs="仿宋_GB2312"/>
          <w:color w:val="auto"/>
          <w:kern w:val="0"/>
          <w:sz w:val="32"/>
          <w:szCs w:val="32"/>
          <w:highlight w:val="none"/>
        </w:rPr>
        <w:fldChar w:fldCharType="begin"/>
      </w:r>
      <w:r>
        <w:rPr>
          <w:rFonts w:hint="eastAsia" w:ascii="仿宋_GB2312" w:hAnsi="仿宋_GB2312" w:eastAsia="仿宋_GB2312" w:cs="仿宋_GB2312"/>
          <w:color w:val="auto"/>
          <w:kern w:val="0"/>
          <w:sz w:val="32"/>
          <w:szCs w:val="32"/>
          <w:highlight w:val="none"/>
        </w:rPr>
        <w:instrText xml:space="preserve"> = 3 \* GB3 \* MERGEFORMAT </w:instrText>
      </w:r>
      <w:r>
        <w:rPr>
          <w:rFonts w:hint="eastAsia" w:ascii="仿宋_GB2312" w:hAnsi="仿宋_GB2312" w:eastAsia="仿宋_GB2312" w:cs="仿宋_GB2312"/>
          <w:color w:val="auto"/>
          <w:kern w:val="0"/>
          <w:sz w:val="32"/>
          <w:szCs w:val="32"/>
          <w:highlight w:val="none"/>
        </w:rPr>
        <w:fldChar w:fldCharType="separate"/>
      </w:r>
      <w:r>
        <w:rPr>
          <w:rFonts w:hint="eastAsia" w:ascii="仿宋_GB2312" w:hAnsi="仿宋_GB2312" w:cs="仿宋_GB2312"/>
        </w:rPr>
        <w:t>③</w:t>
      </w:r>
      <w:r>
        <w:rPr>
          <w:rFonts w:hint="eastAsia" w:ascii="仿宋_GB2312" w:hAnsi="仿宋_GB2312" w:eastAsia="仿宋_GB2312" w:cs="仿宋_GB2312"/>
          <w:color w:val="auto"/>
          <w:kern w:val="0"/>
          <w:sz w:val="32"/>
          <w:szCs w:val="32"/>
          <w:highlight w:val="none"/>
        </w:rPr>
        <w:fldChar w:fldCharType="end"/>
      </w:r>
      <w:r>
        <w:rPr>
          <w:rFonts w:hint="eastAsia" w:ascii="仿宋_GB2312" w:hAnsi="仿宋_GB2312" w:eastAsia="仿宋_GB2312" w:cs="仿宋_GB2312"/>
          <w:color w:val="auto"/>
          <w:kern w:val="0"/>
          <w:sz w:val="32"/>
          <w:szCs w:val="32"/>
          <w:highlight w:val="none"/>
        </w:rPr>
        <w:t>具有分布在不同生态区、自有或租用(剩余租期不少于5年)的科研育种基地5处以上、总面积200亩以上;</w:t>
      </w:r>
      <w:r>
        <w:rPr>
          <w:rFonts w:hint="eastAsia" w:ascii="仿宋_GB2312" w:hAnsi="仿宋_GB2312" w:eastAsia="仿宋_GB2312" w:cs="仿宋_GB2312"/>
          <w:color w:val="auto"/>
          <w:kern w:val="0"/>
          <w:sz w:val="32"/>
          <w:szCs w:val="32"/>
          <w:highlight w:val="none"/>
        </w:rPr>
        <w:fldChar w:fldCharType="begin"/>
      </w:r>
      <w:r>
        <w:rPr>
          <w:rFonts w:hint="eastAsia" w:ascii="仿宋_GB2312" w:hAnsi="仿宋_GB2312" w:eastAsia="仿宋_GB2312" w:cs="仿宋_GB2312"/>
          <w:color w:val="auto"/>
          <w:kern w:val="0"/>
          <w:sz w:val="32"/>
          <w:szCs w:val="32"/>
          <w:highlight w:val="none"/>
        </w:rPr>
        <w:instrText xml:space="preserve"> = 4 \* GB3 \* MERGEFORMAT </w:instrText>
      </w:r>
      <w:r>
        <w:rPr>
          <w:rFonts w:hint="eastAsia" w:ascii="仿宋_GB2312" w:hAnsi="仿宋_GB2312" w:eastAsia="仿宋_GB2312" w:cs="仿宋_GB2312"/>
          <w:color w:val="auto"/>
          <w:kern w:val="0"/>
          <w:sz w:val="32"/>
          <w:szCs w:val="32"/>
          <w:highlight w:val="none"/>
        </w:rPr>
        <w:fldChar w:fldCharType="separate"/>
      </w:r>
      <w:r>
        <w:rPr>
          <w:rFonts w:hint="eastAsia" w:ascii="仿宋_GB2312" w:hAnsi="仿宋_GB2312" w:cs="仿宋_GB2312"/>
        </w:rPr>
        <w:t>④</w:t>
      </w:r>
      <w:r>
        <w:rPr>
          <w:rFonts w:hint="eastAsia" w:ascii="仿宋_GB2312" w:hAnsi="仿宋_GB2312" w:eastAsia="仿宋_GB2312" w:cs="仿宋_GB2312"/>
          <w:color w:val="auto"/>
          <w:kern w:val="0"/>
          <w:sz w:val="32"/>
          <w:szCs w:val="32"/>
          <w:highlight w:val="none"/>
        </w:rPr>
        <w:fldChar w:fldCharType="end"/>
      </w:r>
      <w:r>
        <w:rPr>
          <w:rFonts w:hint="eastAsia" w:ascii="仿宋_GB2312" w:hAnsi="仿宋_GB2312" w:eastAsia="仿宋_GB2312" w:cs="仿宋_GB2312"/>
          <w:color w:val="auto"/>
          <w:kern w:val="0"/>
          <w:sz w:val="32"/>
          <w:szCs w:val="32"/>
          <w:highlight w:val="none"/>
        </w:rPr>
        <w:t>近3年内,年均科研投入不低于年种子销售收入的5%;</w:t>
      </w:r>
      <w:r>
        <w:rPr>
          <w:rFonts w:hint="eastAsia" w:ascii="仿宋_GB2312" w:hAnsi="仿宋_GB2312" w:cs="仿宋_GB2312"/>
          <w:color w:val="auto"/>
          <w:kern w:val="0"/>
          <w:sz w:val="32"/>
          <w:szCs w:val="32"/>
          <w:highlight w:val="none"/>
          <w:lang w:val="en-US" w:eastAsia="zh-CN"/>
        </w:rPr>
        <w:fldChar w:fldCharType="begin"/>
      </w:r>
      <w:r>
        <w:rPr>
          <w:rFonts w:hint="eastAsia" w:ascii="仿宋_GB2312" w:hAnsi="仿宋_GB2312" w:cs="仿宋_GB2312"/>
          <w:color w:val="auto"/>
          <w:kern w:val="0"/>
          <w:sz w:val="32"/>
          <w:szCs w:val="32"/>
          <w:highlight w:val="none"/>
          <w:lang w:val="en-US" w:eastAsia="zh-CN"/>
        </w:rPr>
        <w:instrText xml:space="preserve"> = 5 \* GB3 \* MERGEFORMAT </w:instrText>
      </w:r>
      <w:r>
        <w:rPr>
          <w:rFonts w:hint="eastAsia" w:ascii="仿宋_GB2312" w:hAnsi="仿宋_GB2312" w:cs="仿宋_GB2312"/>
          <w:color w:val="auto"/>
          <w:kern w:val="0"/>
          <w:sz w:val="32"/>
          <w:szCs w:val="32"/>
          <w:highlight w:val="none"/>
          <w:lang w:val="en-US" w:eastAsia="zh-CN"/>
        </w:rPr>
        <w:fldChar w:fldCharType="separate"/>
      </w:r>
      <w:r>
        <w:rPr>
          <w:rFonts w:hint="eastAsia" w:ascii="仿宋_GB2312" w:hAnsi="仿宋_GB2312" w:cs="仿宋_GB2312"/>
        </w:rPr>
        <w:t>⑤</w:t>
      </w:r>
      <w:r>
        <w:rPr>
          <w:rFonts w:hint="eastAsia" w:ascii="仿宋_GB2312" w:hAnsi="仿宋_GB2312" w:cs="仿宋_GB2312"/>
          <w:color w:val="auto"/>
          <w:kern w:val="0"/>
          <w:sz w:val="32"/>
          <w:szCs w:val="32"/>
          <w:highlight w:val="none"/>
          <w:lang w:val="en-US" w:eastAsia="zh-CN"/>
        </w:rPr>
        <w:fldChar w:fldCharType="end"/>
      </w:r>
      <w:r>
        <w:rPr>
          <w:rFonts w:hint="eastAsia" w:ascii="仿宋_GB2312" w:hAnsi="仿宋_GB2312" w:eastAsia="仿宋_GB2312" w:cs="仿宋_GB2312"/>
          <w:color w:val="auto"/>
          <w:kern w:val="0"/>
          <w:sz w:val="32"/>
          <w:szCs w:val="32"/>
          <w:highlight w:val="none"/>
        </w:rPr>
        <w:t>生产经营主要农作物种子的,具有作为第一育种者的国家级审定品种3个以上,或者省级审定品种6个以上,或者国家级审定品种2个和省级审定品种3个以上,或者国家级审定品种1个和省级审定品种5个以上;生产经营非主要农作物种子的,应当具有相应作物的以本企业名义登记或单独申请获得植物新品种权的品种5个以上;</w:t>
      </w:r>
      <w:r>
        <w:rPr>
          <w:rFonts w:hint="eastAsia" w:ascii="仿宋_GB2312" w:hAnsi="仿宋_GB2312" w:eastAsia="仿宋_GB2312" w:cs="仿宋_GB2312"/>
          <w:color w:val="auto"/>
          <w:kern w:val="0"/>
          <w:sz w:val="32"/>
          <w:szCs w:val="32"/>
          <w:highlight w:val="none"/>
        </w:rPr>
        <w:fldChar w:fldCharType="begin"/>
      </w:r>
      <w:r>
        <w:rPr>
          <w:rFonts w:hint="eastAsia" w:ascii="仿宋_GB2312" w:hAnsi="仿宋_GB2312" w:eastAsia="仿宋_GB2312" w:cs="仿宋_GB2312"/>
          <w:color w:val="auto"/>
          <w:kern w:val="0"/>
          <w:sz w:val="32"/>
          <w:szCs w:val="32"/>
          <w:highlight w:val="none"/>
        </w:rPr>
        <w:instrText xml:space="preserve"> = 6 \* GB3 \* MERGEFORMAT </w:instrText>
      </w:r>
      <w:r>
        <w:rPr>
          <w:rFonts w:hint="eastAsia" w:ascii="仿宋_GB2312" w:hAnsi="仿宋_GB2312" w:eastAsia="仿宋_GB2312" w:cs="仿宋_GB2312"/>
          <w:color w:val="auto"/>
          <w:kern w:val="0"/>
          <w:sz w:val="32"/>
          <w:szCs w:val="32"/>
          <w:highlight w:val="none"/>
        </w:rPr>
        <w:fldChar w:fldCharType="separate"/>
      </w:r>
      <w:r>
        <w:rPr>
          <w:rFonts w:hint="eastAsia" w:ascii="仿宋_GB2312" w:hAnsi="仿宋_GB2312" w:cs="仿宋_GB2312"/>
        </w:rPr>
        <w:t>⑥</w:t>
      </w:r>
      <w:r>
        <w:rPr>
          <w:rFonts w:hint="eastAsia" w:ascii="仿宋_GB2312" w:hAnsi="仿宋_GB2312" w:eastAsia="仿宋_GB2312" w:cs="仿宋_GB2312"/>
          <w:color w:val="auto"/>
          <w:kern w:val="0"/>
          <w:sz w:val="32"/>
          <w:szCs w:val="32"/>
          <w:highlight w:val="none"/>
        </w:rPr>
        <w:fldChar w:fldCharType="end"/>
      </w:r>
      <w:r>
        <w:rPr>
          <w:rFonts w:hint="eastAsia" w:ascii="仿宋_GB2312" w:hAnsi="仿宋_GB2312" w:eastAsia="仿宋_GB2312" w:cs="仿宋_GB2312"/>
          <w:color w:val="auto"/>
          <w:kern w:val="0"/>
          <w:sz w:val="32"/>
          <w:szCs w:val="32"/>
          <w:highlight w:val="none"/>
        </w:rPr>
        <w:t>企业综合实力强,行业市场占有率靠前;</w:t>
      </w:r>
      <w:r>
        <w:rPr>
          <w:rFonts w:hint="eastAsia" w:ascii="仿宋_GB2312" w:hAnsi="仿宋_GB2312" w:eastAsia="仿宋_GB2312" w:cs="仿宋_GB2312"/>
          <w:color w:val="auto"/>
          <w:kern w:val="0"/>
          <w:sz w:val="32"/>
          <w:szCs w:val="32"/>
          <w:highlight w:val="none"/>
        </w:rPr>
        <w:fldChar w:fldCharType="begin"/>
      </w:r>
      <w:r>
        <w:rPr>
          <w:rFonts w:hint="eastAsia" w:ascii="仿宋_GB2312" w:hAnsi="仿宋_GB2312" w:eastAsia="仿宋_GB2312" w:cs="仿宋_GB2312"/>
          <w:color w:val="auto"/>
          <w:kern w:val="0"/>
          <w:sz w:val="32"/>
          <w:szCs w:val="32"/>
          <w:highlight w:val="none"/>
        </w:rPr>
        <w:instrText xml:space="preserve"> = 7 \* GB3 \* MERGEFORMAT </w:instrText>
      </w:r>
      <w:r>
        <w:rPr>
          <w:rFonts w:hint="eastAsia" w:ascii="仿宋_GB2312" w:hAnsi="仿宋_GB2312" w:eastAsia="仿宋_GB2312" w:cs="仿宋_GB2312"/>
          <w:color w:val="auto"/>
          <w:kern w:val="0"/>
          <w:sz w:val="32"/>
          <w:szCs w:val="32"/>
          <w:highlight w:val="none"/>
        </w:rPr>
        <w:fldChar w:fldCharType="separate"/>
      </w:r>
      <w:r>
        <w:rPr>
          <w:rFonts w:hint="eastAsia" w:ascii="仿宋_GB2312" w:hAnsi="仿宋_GB2312" w:cs="仿宋_GB2312"/>
        </w:rPr>
        <w:t>⑦</w:t>
      </w:r>
      <w:r>
        <w:rPr>
          <w:rFonts w:hint="eastAsia" w:ascii="仿宋_GB2312" w:hAnsi="仿宋_GB2312" w:eastAsia="仿宋_GB2312" w:cs="仿宋_GB2312"/>
          <w:color w:val="auto"/>
          <w:kern w:val="0"/>
          <w:sz w:val="32"/>
          <w:szCs w:val="32"/>
          <w:highlight w:val="none"/>
        </w:rPr>
        <w:fldChar w:fldCharType="end"/>
      </w:r>
      <w:r>
        <w:rPr>
          <w:rFonts w:hint="eastAsia" w:ascii="仿宋_GB2312" w:hAnsi="仿宋_GB2312" w:eastAsia="仿宋_GB2312" w:cs="仿宋_GB2312"/>
          <w:color w:val="auto"/>
          <w:kern w:val="0"/>
          <w:sz w:val="32"/>
          <w:szCs w:val="32"/>
          <w:highlight w:val="none"/>
        </w:rPr>
        <w:t>具有专门的科研团队从事科研育种活动;</w:t>
      </w:r>
      <w:r>
        <w:rPr>
          <w:rFonts w:hint="eastAsia" w:ascii="仿宋_GB2312" w:hAnsi="仿宋_GB2312" w:eastAsia="仿宋_GB2312" w:cs="仿宋_GB2312"/>
          <w:color w:val="auto"/>
          <w:kern w:val="0"/>
          <w:sz w:val="32"/>
          <w:szCs w:val="32"/>
          <w:highlight w:val="none"/>
        </w:rPr>
        <w:fldChar w:fldCharType="begin"/>
      </w:r>
      <w:r>
        <w:rPr>
          <w:rFonts w:hint="eastAsia" w:ascii="仿宋_GB2312" w:hAnsi="仿宋_GB2312" w:eastAsia="仿宋_GB2312" w:cs="仿宋_GB2312"/>
          <w:color w:val="auto"/>
          <w:kern w:val="0"/>
          <w:sz w:val="32"/>
          <w:szCs w:val="32"/>
          <w:highlight w:val="none"/>
        </w:rPr>
        <w:instrText xml:space="preserve"> = 8 \* GB3 \* MERGEFORMAT </w:instrText>
      </w:r>
      <w:r>
        <w:rPr>
          <w:rFonts w:hint="eastAsia" w:ascii="仿宋_GB2312" w:hAnsi="仿宋_GB2312" w:eastAsia="仿宋_GB2312" w:cs="仿宋_GB2312"/>
          <w:color w:val="auto"/>
          <w:kern w:val="0"/>
          <w:sz w:val="32"/>
          <w:szCs w:val="32"/>
          <w:highlight w:val="none"/>
        </w:rPr>
        <w:fldChar w:fldCharType="separate"/>
      </w:r>
      <w:r>
        <w:rPr>
          <w:rFonts w:hint="eastAsia" w:ascii="仿宋_GB2312" w:hAnsi="仿宋_GB2312" w:cs="仿宋_GB2312"/>
        </w:rPr>
        <w:t>⑧</w:t>
      </w:r>
      <w:r>
        <w:rPr>
          <w:rFonts w:hint="eastAsia" w:ascii="仿宋_GB2312" w:hAnsi="仿宋_GB2312" w:eastAsia="仿宋_GB2312" w:cs="仿宋_GB2312"/>
          <w:color w:val="auto"/>
          <w:kern w:val="0"/>
          <w:sz w:val="32"/>
          <w:szCs w:val="32"/>
          <w:highlight w:val="none"/>
        </w:rPr>
        <w:fldChar w:fldCharType="end"/>
      </w:r>
      <w:r>
        <w:rPr>
          <w:rFonts w:hint="eastAsia" w:ascii="仿宋_GB2312" w:hAnsi="仿宋_GB2312" w:eastAsia="仿宋_GB2312" w:cs="仿宋_GB2312"/>
          <w:color w:val="auto"/>
          <w:kern w:val="0"/>
          <w:sz w:val="32"/>
          <w:szCs w:val="32"/>
          <w:highlight w:val="none"/>
        </w:rPr>
        <w:t>近三年无生产经营假劣种子或套牌侵权行为。</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项目中央投资不低于1000万元，中央投资占项目总投资比例不超过40％，部直属单位项目全部为中央投资。其中，新建分子育种表型与基因型鉴定平台中央投资不高于10000万元；改扩建分子育种创新服务平台中央投资不高于</w:t>
      </w:r>
      <w:r>
        <w:rPr>
          <w:rFonts w:hint="eastAsia" w:ascii="仿宋_GB2312" w:hAnsi="仿宋_GB2312" w:eastAsia="仿宋_GB2312" w:cs="仿宋_GB2312"/>
          <w:snapToGrid w:val="0"/>
          <w:color w:val="auto"/>
          <w:spacing w:val="-6"/>
          <w:kern w:val="0"/>
          <w:sz w:val="32"/>
          <w:szCs w:val="32"/>
          <w:highlight w:val="none"/>
        </w:rPr>
        <w:t>3000万元；其他育种创新能力提升项目中央投资不高于1100万元。</w:t>
      </w:r>
      <w:r>
        <w:rPr>
          <w:rFonts w:hint="eastAsia" w:ascii="仿宋_GB2312" w:hAnsi="仿宋_GB2312" w:eastAsia="仿宋_GB2312" w:cs="仿宋_GB2312"/>
          <w:color w:val="auto"/>
          <w:kern w:val="0"/>
          <w:sz w:val="32"/>
          <w:szCs w:val="32"/>
          <w:highlight w:val="none"/>
        </w:rPr>
        <w:t>中央投资主要用于项目中具有一定公益性质的基础设施建设。</w:t>
      </w:r>
    </w:p>
    <w:p>
      <w:pPr>
        <w:keepNext w:val="0"/>
        <w:keepLines w:val="0"/>
        <w:pageBreakBefore w:val="0"/>
        <w:widowControl w:val="0"/>
        <w:kinsoku/>
        <w:overflowPunct/>
        <w:topLinePunct w:val="0"/>
        <w:autoSpaceDE/>
        <w:autoSpaceDN/>
        <w:bidi w:val="0"/>
        <w:adjustRightInd w:val="0"/>
        <w:snapToGrid w:val="0"/>
        <w:spacing w:line="590" w:lineRule="exact"/>
        <w:ind w:firstLine="640" w:firstLineChars="200"/>
        <w:textAlignment w:val="auto"/>
        <w:rPr>
          <w:rFonts w:hint="eastAsia" w:ascii="楷体_GB2312" w:hAnsi="楷体_GB2312" w:eastAsia="楷体_GB2312" w:cs="楷体_GB2312"/>
          <w:b w:val="0"/>
          <w:bCs w:val="0"/>
          <w:color w:val="auto"/>
          <w:kern w:val="0"/>
          <w:sz w:val="32"/>
          <w:szCs w:val="32"/>
          <w:highlight w:val="none"/>
          <w:lang w:val="en-US" w:eastAsia="zh-CN"/>
        </w:rPr>
      </w:pPr>
      <w:r>
        <w:rPr>
          <w:rFonts w:hint="eastAsia" w:ascii="楷体_GB2312" w:hAnsi="楷体_GB2312" w:eastAsia="楷体_GB2312" w:cs="楷体_GB2312"/>
          <w:b w:val="0"/>
          <w:bCs w:val="0"/>
          <w:color w:val="auto"/>
          <w:kern w:val="0"/>
          <w:sz w:val="32"/>
          <w:szCs w:val="32"/>
          <w:highlight w:val="none"/>
          <w:lang w:val="en-US" w:eastAsia="zh-CN"/>
        </w:rPr>
        <w:t>（三）农业野生植物原生境保护区</w:t>
      </w:r>
      <w:bookmarkEnd w:id="0"/>
      <w:r>
        <w:rPr>
          <w:rFonts w:hint="eastAsia" w:ascii="楷体_GB2312" w:hAnsi="楷体_GB2312" w:eastAsia="楷体_GB2312" w:cs="楷体_GB2312"/>
          <w:b w:val="0"/>
          <w:bCs w:val="0"/>
          <w:color w:val="auto"/>
          <w:kern w:val="0"/>
          <w:sz w:val="32"/>
          <w:szCs w:val="32"/>
          <w:highlight w:val="none"/>
          <w:lang w:val="en-US" w:eastAsia="zh-CN"/>
        </w:rPr>
        <w:t>（点）项目</w:t>
      </w:r>
    </w:p>
    <w:p>
      <w:pPr>
        <w:keepNext w:val="0"/>
        <w:keepLines w:val="0"/>
        <w:pageBreakBefore w:val="0"/>
        <w:widowControl w:val="0"/>
        <w:kinsoku/>
        <w:overflowPunct/>
        <w:topLinePunct w:val="0"/>
        <w:autoSpaceDE/>
        <w:autoSpaceDN/>
        <w:bidi w:val="0"/>
        <w:adjustRightInd w:val="0"/>
        <w:snapToGrid w:val="0"/>
        <w:spacing w:line="590" w:lineRule="exact"/>
        <w:ind w:right="0" w:firstLine="643"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b/>
          <w:bCs/>
          <w:color w:val="auto"/>
          <w:kern w:val="0"/>
          <w:sz w:val="32"/>
          <w:szCs w:val="32"/>
          <w:highlight w:val="none"/>
          <w:lang w:val="en-US" w:eastAsia="zh-CN"/>
        </w:rPr>
        <w:t>1.</w:t>
      </w:r>
      <w:r>
        <w:rPr>
          <w:rFonts w:hint="eastAsia" w:ascii="仿宋_GB2312" w:hAnsi="仿宋_GB2312" w:eastAsia="仿宋_GB2312" w:cs="仿宋_GB2312"/>
          <w:b/>
          <w:bCs/>
          <w:color w:val="auto"/>
          <w:kern w:val="0"/>
          <w:sz w:val="32"/>
          <w:szCs w:val="32"/>
          <w:highlight w:val="none"/>
        </w:rPr>
        <w:t>建设要求</w:t>
      </w:r>
      <w:r>
        <w:rPr>
          <w:rFonts w:hint="eastAsia" w:ascii="仿宋_GB2312" w:hAnsi="仿宋_GB2312" w:cs="仿宋_GB2312"/>
          <w:b/>
          <w:bCs/>
          <w:color w:val="auto"/>
          <w:kern w:val="0"/>
          <w:sz w:val="32"/>
          <w:szCs w:val="32"/>
          <w:highlight w:val="none"/>
          <w:lang w:eastAsia="zh-CN"/>
        </w:rPr>
        <w:t>。</w:t>
      </w:r>
      <w:r>
        <w:rPr>
          <w:rFonts w:hint="eastAsia" w:ascii="仿宋_GB2312" w:hAnsi="仿宋_GB2312" w:eastAsia="仿宋_GB2312" w:cs="仿宋_GB2312"/>
          <w:bCs/>
          <w:color w:val="000000"/>
          <w:kern w:val="0"/>
          <w:sz w:val="32"/>
          <w:szCs w:val="32"/>
          <w:highlight w:val="none"/>
        </w:rPr>
        <w:t>保护区（点）总面积达到1500亩以上，对于野生稻、野大豆等原生境面积较小的物种，可适当放宽要求。</w:t>
      </w:r>
      <w:r>
        <w:rPr>
          <w:rFonts w:hint="eastAsia" w:ascii="仿宋_GB2312" w:hAnsi="仿宋_GB2312" w:eastAsia="仿宋_GB2312" w:cs="仿宋_GB2312"/>
          <w:color w:val="000000"/>
          <w:kern w:val="0"/>
          <w:sz w:val="32"/>
          <w:szCs w:val="32"/>
          <w:highlight w:val="none"/>
        </w:rPr>
        <w:t>项目建成后，原生境保护区（点）内的国家重点保护野生植物及其栖息地得到有效保护，严重濒危的农业野生植物珍稀物种种群得到恢复和发展。</w:t>
      </w:r>
    </w:p>
    <w:p>
      <w:pPr>
        <w:keepNext w:val="0"/>
        <w:keepLines w:val="0"/>
        <w:pageBreakBefore w:val="0"/>
        <w:widowControl w:val="0"/>
        <w:kinsoku/>
        <w:overflowPunct/>
        <w:topLinePunct w:val="0"/>
        <w:autoSpaceDE/>
        <w:autoSpaceDN/>
        <w:bidi w:val="0"/>
        <w:adjustRightInd w:val="0"/>
        <w:snapToGrid w:val="0"/>
        <w:spacing w:line="590" w:lineRule="exact"/>
        <w:ind w:right="0" w:firstLine="643" w:firstLineChars="200"/>
        <w:textAlignment w:val="auto"/>
        <w:rPr>
          <w:rFonts w:hint="eastAsia" w:ascii="仿宋_GB2312" w:hAnsi="仿宋_GB2312" w:eastAsia="仿宋_GB2312" w:cs="仿宋_GB2312"/>
          <w:b/>
          <w:color w:val="000000"/>
          <w:kern w:val="0"/>
          <w:sz w:val="32"/>
          <w:szCs w:val="32"/>
          <w:highlight w:val="none"/>
        </w:rPr>
      </w:pPr>
      <w:r>
        <w:rPr>
          <w:rFonts w:hint="eastAsia" w:ascii="仿宋_GB2312" w:hAnsi="仿宋_GB2312" w:eastAsia="仿宋_GB2312" w:cs="仿宋_GB2312"/>
          <w:b/>
          <w:bCs/>
          <w:color w:val="auto"/>
          <w:kern w:val="0"/>
          <w:sz w:val="32"/>
          <w:szCs w:val="32"/>
          <w:highlight w:val="none"/>
          <w:lang w:val="en-US" w:eastAsia="zh-CN"/>
        </w:rPr>
        <w:t>2.</w:t>
      </w:r>
      <w:r>
        <w:rPr>
          <w:rFonts w:hint="eastAsia" w:ascii="仿宋_GB2312" w:hAnsi="仿宋_GB2312" w:eastAsia="仿宋_GB2312" w:cs="仿宋_GB2312"/>
          <w:b/>
          <w:bCs/>
          <w:color w:val="auto"/>
          <w:kern w:val="0"/>
          <w:sz w:val="32"/>
          <w:szCs w:val="32"/>
          <w:highlight w:val="none"/>
          <w:lang w:eastAsia="zh-CN"/>
        </w:rPr>
        <w:t>建设内容</w:t>
      </w:r>
      <w:r>
        <w:rPr>
          <w:rFonts w:hint="eastAsia" w:ascii="仿宋_GB2312" w:hAnsi="仿宋_GB2312" w:cs="仿宋_GB2312"/>
          <w:b/>
          <w:bCs/>
          <w:color w:val="auto"/>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申报项目应根据实际需求，建设隔离、警示、看护、防火排灌、温（网）室、繁育圃、连接道路及必要的供电供水等工程设施，购置安装数据采集分析、通讯、生物和环境检测、标本陈列、资源监测与管护监控、巡护交通工具等设施设备。</w:t>
      </w:r>
    </w:p>
    <w:p>
      <w:pPr>
        <w:keepNext w:val="0"/>
        <w:keepLines w:val="0"/>
        <w:pageBreakBefore w:val="0"/>
        <w:widowControl w:val="0"/>
        <w:kinsoku/>
        <w:overflowPunct/>
        <w:topLinePunct w:val="0"/>
        <w:autoSpaceDE/>
        <w:autoSpaceDN/>
        <w:bidi w:val="0"/>
        <w:adjustRightInd w:val="0"/>
        <w:snapToGrid w:val="0"/>
        <w:spacing w:line="590" w:lineRule="exact"/>
        <w:ind w:right="0" w:firstLine="643" w:firstLineChars="200"/>
        <w:textAlignment w:val="auto"/>
        <w:rPr>
          <w:rFonts w:hint="eastAsia" w:ascii="仿宋_GB2312" w:hAnsi="仿宋_GB2312" w:eastAsia="仿宋_GB2312" w:cs="仿宋_GB2312"/>
          <w:bCs/>
          <w:color w:val="000000"/>
          <w:kern w:val="0"/>
          <w:sz w:val="32"/>
          <w:szCs w:val="32"/>
          <w:highlight w:val="none"/>
        </w:rPr>
      </w:pPr>
      <w:r>
        <w:rPr>
          <w:rFonts w:hint="eastAsia" w:ascii="仿宋_GB2312" w:hAnsi="仿宋_GB2312" w:eastAsia="仿宋_GB2312" w:cs="仿宋_GB2312"/>
          <w:b/>
          <w:bCs/>
          <w:color w:val="auto"/>
          <w:kern w:val="0"/>
          <w:sz w:val="32"/>
          <w:szCs w:val="32"/>
          <w:highlight w:val="none"/>
          <w:lang w:val="en-US" w:eastAsia="zh-CN"/>
        </w:rPr>
        <w:t>3.</w:t>
      </w:r>
      <w:r>
        <w:rPr>
          <w:rFonts w:hint="eastAsia" w:ascii="仿宋_GB2312" w:hAnsi="仿宋_GB2312" w:eastAsia="仿宋_GB2312" w:cs="仿宋_GB2312"/>
          <w:b/>
          <w:bCs/>
          <w:color w:val="auto"/>
          <w:kern w:val="0"/>
          <w:sz w:val="32"/>
          <w:szCs w:val="32"/>
          <w:highlight w:val="none"/>
          <w:lang w:eastAsia="zh-CN"/>
        </w:rPr>
        <w:t>储备条件</w:t>
      </w:r>
      <w:r>
        <w:rPr>
          <w:rFonts w:hint="eastAsia" w:ascii="仿宋_GB2312" w:hAnsi="仿宋_GB2312" w:cs="仿宋_GB2312"/>
          <w:b/>
          <w:bCs/>
          <w:color w:val="auto"/>
          <w:kern w:val="0"/>
          <w:sz w:val="32"/>
          <w:szCs w:val="32"/>
          <w:highlight w:val="none"/>
          <w:lang w:eastAsia="zh-CN"/>
        </w:rPr>
        <w:t>。</w:t>
      </w:r>
      <w:r>
        <w:rPr>
          <w:rFonts w:hint="default" w:ascii="仿宋_GB2312" w:hAnsi="仿宋_GB2312" w:cs="仿宋_GB2312"/>
          <w:b w:val="0"/>
          <w:bCs w:val="0"/>
          <w:color w:val="000000"/>
          <w:kern w:val="0"/>
          <w:sz w:val="32"/>
          <w:szCs w:val="32"/>
          <w:highlight w:val="none"/>
          <w:lang w:val="en-US" w:eastAsia="zh-CN"/>
        </w:rPr>
        <w:t>2025</w:t>
      </w:r>
      <w:r>
        <w:rPr>
          <w:rFonts w:hint="eastAsia" w:ascii="仿宋_GB2312" w:hAnsi="仿宋_GB2312" w:eastAsia="仿宋_GB2312" w:cs="仿宋_GB2312"/>
          <w:bCs/>
          <w:color w:val="000000"/>
          <w:kern w:val="0"/>
          <w:sz w:val="32"/>
          <w:szCs w:val="32"/>
          <w:highlight w:val="none"/>
        </w:rPr>
        <w:t>年</w:t>
      </w:r>
      <w:r>
        <w:rPr>
          <w:rFonts w:hint="eastAsia" w:ascii="仿宋_GB2312" w:hAnsi="仿宋_GB2312" w:eastAsia="仿宋_GB2312" w:cs="仿宋_GB2312"/>
          <w:color w:val="000000"/>
          <w:kern w:val="0"/>
          <w:sz w:val="32"/>
          <w:szCs w:val="32"/>
          <w:highlight w:val="none"/>
        </w:rPr>
        <w:t>建设</w:t>
      </w:r>
      <w:r>
        <w:rPr>
          <w:rFonts w:hint="eastAsia" w:ascii="仿宋_GB2312" w:hAnsi="仿宋_GB2312" w:cs="仿宋_GB2312"/>
          <w:color w:val="000000"/>
          <w:kern w:val="0"/>
          <w:sz w:val="32"/>
          <w:szCs w:val="32"/>
          <w:highlight w:val="none"/>
          <w:lang w:val="en-US" w:eastAsia="zh-CN"/>
        </w:rPr>
        <w:t>3</w:t>
      </w:r>
      <w:r>
        <w:rPr>
          <w:rFonts w:hint="eastAsia" w:ascii="仿宋_GB2312" w:hAnsi="仿宋_GB2312" w:eastAsia="仿宋_GB2312" w:cs="仿宋_GB2312"/>
          <w:color w:val="auto"/>
          <w:kern w:val="0"/>
          <w:sz w:val="32"/>
          <w:szCs w:val="32"/>
          <w:highlight w:val="none"/>
        </w:rPr>
        <w:t>－</w:t>
      </w:r>
      <w:r>
        <w:rPr>
          <w:rFonts w:hint="eastAsia" w:ascii="仿宋_GB2312" w:hAnsi="仿宋_GB2312" w:cs="仿宋_GB2312"/>
          <w:color w:val="000000"/>
          <w:kern w:val="0"/>
          <w:sz w:val="32"/>
          <w:szCs w:val="32"/>
          <w:highlight w:val="none"/>
          <w:lang w:val="en-US" w:eastAsia="zh-CN"/>
        </w:rPr>
        <w:t>5</w:t>
      </w:r>
      <w:r>
        <w:rPr>
          <w:rFonts w:hint="eastAsia" w:ascii="仿宋_GB2312" w:hAnsi="仿宋_GB2312" w:eastAsia="仿宋_GB2312" w:cs="仿宋_GB2312"/>
          <w:color w:val="000000"/>
          <w:kern w:val="0"/>
          <w:sz w:val="32"/>
          <w:szCs w:val="32"/>
          <w:highlight w:val="none"/>
        </w:rPr>
        <w:t>个农业野生植物原生境保护区（点），拟布局范围为在全国生物多样性富集区，每省（自治区、直辖市、计划单列市）每年限报1个。项目建设主体应为</w:t>
      </w:r>
      <w:r>
        <w:rPr>
          <w:rFonts w:hint="eastAsia" w:ascii="仿宋_GB2312" w:hAnsi="仿宋_GB2312" w:eastAsia="仿宋_GB2312" w:cs="仿宋_GB2312"/>
          <w:bCs/>
          <w:color w:val="000000"/>
          <w:kern w:val="0"/>
          <w:sz w:val="32"/>
          <w:szCs w:val="32"/>
          <w:highlight w:val="none"/>
        </w:rPr>
        <w:t>具有独立法人资格的县级农业环保、科教、农技站（中心）等事业单位，并应具备相应的技术力量。申报项目目标保护物种优先支持已列入《国家重点保护野生植物名录》的，处于濒危状态、对粮食安全和农业可持续发展具有重要价值的农业野生植物，包括作物野生近缘植物、野生蔬菜、野生果树、野生茶和野生药用植物等。项目需取得县级以上人民政府建立原生境保护区（点）的批复文件，土地所有权为国有或集体，后续运行经费纳入县财政预算，项目区域应远离人群密集活动区、污染源、地质塌陷区等，并且不与现有任何类型、等级自然保护地相交叉，保护物种、土地权属和范围、责任主体清晰。</w:t>
      </w:r>
    </w:p>
    <w:p>
      <w:pPr>
        <w:keepNext w:val="0"/>
        <w:keepLines w:val="0"/>
        <w:pageBreakBefore w:val="0"/>
        <w:widowControl w:val="0"/>
        <w:kinsoku/>
        <w:overflowPunct/>
        <w:topLinePunct w:val="0"/>
        <w:autoSpaceDE/>
        <w:autoSpaceDN/>
        <w:bidi w:val="0"/>
        <w:adjustRightInd w:val="0"/>
        <w:snapToGrid w:val="0"/>
        <w:spacing w:line="590" w:lineRule="exact"/>
        <w:ind w:right="0" w:firstLine="643"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b/>
          <w:bCs/>
          <w:color w:val="auto"/>
          <w:kern w:val="0"/>
          <w:sz w:val="32"/>
          <w:szCs w:val="32"/>
          <w:highlight w:val="none"/>
          <w:lang w:val="en-US" w:eastAsia="zh-CN"/>
        </w:rPr>
        <w:t>4.</w:t>
      </w:r>
      <w:r>
        <w:rPr>
          <w:rFonts w:hint="eastAsia" w:ascii="仿宋_GB2312" w:hAnsi="仿宋_GB2312" w:eastAsia="仿宋_GB2312" w:cs="仿宋_GB2312"/>
          <w:b/>
          <w:bCs/>
          <w:color w:val="auto"/>
          <w:kern w:val="0"/>
          <w:sz w:val="32"/>
          <w:szCs w:val="32"/>
          <w:highlight w:val="none"/>
          <w:lang w:eastAsia="zh-CN"/>
        </w:rPr>
        <w:t>中央投资规模</w:t>
      </w:r>
      <w:r>
        <w:rPr>
          <w:rFonts w:hint="eastAsia" w:ascii="仿宋_GB2312" w:hAnsi="仿宋_GB2312" w:cs="仿宋_GB2312"/>
          <w:b/>
          <w:bCs/>
          <w:color w:val="auto"/>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项目按实际需求申报，单个项目总投资规模控制在1500万元左右，其中</w:t>
      </w:r>
      <w:r>
        <w:rPr>
          <w:rFonts w:hint="eastAsia" w:ascii="仿宋_GB2312" w:hAnsi="仿宋_GB2312" w:eastAsia="仿宋_GB2312" w:cs="仿宋_GB2312"/>
          <w:color w:val="auto"/>
          <w:kern w:val="0"/>
          <w:sz w:val="32"/>
          <w:szCs w:val="32"/>
          <w:highlight w:val="none"/>
        </w:rPr>
        <w:t>中央投资东部、中部、西部、东北地区分别不超过项目总投资的70%、80%、90%、90%</w:t>
      </w:r>
      <w:r>
        <w:rPr>
          <w:rFonts w:hint="eastAsia" w:ascii="仿宋_GB2312" w:hAnsi="仿宋_GB2312" w:eastAsia="仿宋_GB2312" w:cs="仿宋_GB2312"/>
          <w:color w:val="000000"/>
          <w:kern w:val="0"/>
          <w:sz w:val="32"/>
          <w:szCs w:val="32"/>
          <w:highlight w:val="none"/>
        </w:rPr>
        <w:t>。</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（四）农作物品种测试评价能力提升项目</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以国家支持建设的品种区试站、抗性鉴定站等项目建设为基础，整合建设一批国家品种测试评价中心（分中心）和区域性品种测试评价站，开展品种特性和种子质量评价评估，为品种审定、品种登记、植物新品种保护、种子认证、执法监管、展示示范等提供技术支撑。</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主要建设内容包括温室、大棚、灌排设施等区试田间生产设施，生理生化、品质分析实验室等分析鉴定用房，购置考种设备、质量检测、品种测定、信息处理平台及农机具等设备。</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规划建设品种测试评价中心（站）</w:t>
      </w:r>
      <w:r>
        <w:rPr>
          <w:rFonts w:hint="eastAsia" w:ascii="仿宋_GB2312" w:hAnsi="仿宋_GB2312" w:cs="仿宋_GB2312"/>
          <w:color w:val="auto"/>
          <w:kern w:val="0"/>
          <w:sz w:val="32"/>
          <w:szCs w:val="32"/>
          <w:highlight w:val="none"/>
          <w:lang w:val="en-US" w:eastAsia="zh-CN"/>
        </w:rPr>
        <w:t>3</w:t>
      </w:r>
      <w:r>
        <w:rPr>
          <w:rFonts w:hint="eastAsia" w:ascii="仿宋_GB2312" w:hAnsi="仿宋_GB2312" w:eastAsia="仿宋_GB2312" w:cs="仿宋_GB2312"/>
          <w:color w:val="auto"/>
          <w:kern w:val="0"/>
          <w:sz w:val="32"/>
          <w:szCs w:val="32"/>
          <w:highlight w:val="none"/>
        </w:rPr>
        <w:t>个。其中，在苏建设国家品种测试评价中心1个，由农业农村部直属单位承建；建设国家品种测试评价分中心1个，布局在陕，以国家已投资建设并承担相应试验任务的单位为主承建；建设区域性品种测试评价站</w:t>
      </w:r>
      <w:r>
        <w:rPr>
          <w:rFonts w:hint="eastAsia" w:ascii="仿宋_GB2312" w:hAnsi="仿宋_GB2312" w:cs="仿宋_GB2312"/>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rPr>
        <w:t>个，布局</w:t>
      </w:r>
      <w:r>
        <w:rPr>
          <w:rFonts w:hint="eastAsia" w:ascii="仿宋_GB2312" w:hAnsi="仿宋_GB2312" w:cs="仿宋_GB2312"/>
          <w:color w:val="auto"/>
          <w:kern w:val="0"/>
          <w:sz w:val="32"/>
          <w:szCs w:val="32"/>
          <w:highlight w:val="none"/>
          <w:lang w:eastAsia="zh-CN"/>
        </w:rPr>
        <w:t>在</w:t>
      </w:r>
      <w:r>
        <w:rPr>
          <w:rFonts w:hint="eastAsia" w:ascii="仿宋_GB2312" w:hAnsi="仿宋_GB2312" w:eastAsia="仿宋_GB2312" w:cs="仿宋_GB2312"/>
          <w:color w:val="auto"/>
          <w:kern w:val="0"/>
          <w:sz w:val="32"/>
          <w:szCs w:val="32"/>
          <w:highlight w:val="none"/>
        </w:rPr>
        <w:t>浙，由国家已投资建设并承担相应试验任务的单位为主承建。</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项目承担单位应具有独立的法人资格；有建设用地或自有房产可用于试验检验业务用房改造；有相应的试验用地，面积200亩左右，生态代表性强；具有开展品种试验、种子检验的专业技术人员；具有良好的财务状况，能够提供必需的运行经费支持。同时按照1+N建设模式要求，每个区域性测试评价站应带动建设亚生态区内3－5个测试点，形成区域性试验网络。其中布局在陕西的分中心还要立足于打造面向上合组织和中亚地区的种业新品种测试评价交流合作平台。</w:t>
      </w:r>
    </w:p>
    <w:p>
      <w:pPr>
        <w:adjustRightInd w:val="0"/>
        <w:snapToGrid w:val="0"/>
        <w:spacing w:line="590" w:lineRule="exact"/>
        <w:ind w:firstLine="643" w:firstLineChars="200"/>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bookmarkStart w:id="2" w:name="_Hlk77153788"/>
      <w:r>
        <w:rPr>
          <w:rFonts w:hint="eastAsia" w:ascii="仿宋_GB2312" w:hAnsi="仿宋_GB2312" w:eastAsia="仿宋_GB2312" w:cs="仿宋_GB2312"/>
          <w:color w:val="auto"/>
          <w:kern w:val="0"/>
          <w:sz w:val="32"/>
          <w:szCs w:val="32"/>
          <w:highlight w:val="none"/>
        </w:rPr>
        <w:t>项目中央投资不低于1000万元，由农业农村部直属单位承建的项目投资全部由中央安排，地方承建的项目按照东部地区不超过60％、中部地区不超过70％、西部地区不超过80％、东北地区不超过80％的补助比例安排中央投资。其中，国家品种测试中心中央投资不高于15000万元；国家品种测试分中心中央投资不高于3000万元；区域性品种测试站中央投资不高于1800万元。</w:t>
      </w:r>
    </w:p>
    <w:bookmarkEnd w:id="2"/>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（五）农作物良种繁育能力提升项目</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建设一批规模化、机械化、标准化、集约化、信息化的种子（苗）生产基地，改善田间生产设施条件，提高良种生产和供应能力，提升种子产地加工水平和仓储能力，确保农业用种安全，为农业提质增效奠定基础。</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国家级育制种基地主要建设内容包括育（制）种田块改造，道路、晒场等配套设施建设，种子质量检测、病虫害防治等仪器设备购置。所需经费不列入本规划投资，如能立项，项目经费打算从高标准农田建设或其他有关项目中解决。区域性良种繁育基地主要建设内容包括晒场、仓库及附属设施、种子质量检验室、农机库房、种子加工车间等土建工程，排灌设施、机耕路等田间工程，配备农机具、仪器设备、物联网系统、种子物流与追溯管理信息体系等。冬（夏）科研繁育制种基地主要建设内容包括土地平整改良、沟渠路配套、灌排设施配套等，配备农机具、仪器设备、物联网系统、种子物流与追溯管理信息体系等。</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在国家认定的区域性良种繁育基地县，以及国家有关规划明确的制（繁）种优势区，建设花生、糖料、蔬菜、水果、茶、中药材、食用菌等经济作物区域性良种繁育基地</w:t>
      </w:r>
      <w:r>
        <w:rPr>
          <w:rFonts w:hint="eastAsia" w:ascii="仿宋_GB2312" w:hAnsi="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rPr>
        <w:t>个。</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bookmarkStart w:id="3" w:name="_Hlk77153915"/>
      <w:r>
        <w:rPr>
          <w:rFonts w:hint="eastAsia" w:ascii="仿宋_GB2312" w:hAnsi="仿宋_GB2312" w:eastAsia="仿宋_GB2312" w:cs="仿宋_GB2312"/>
          <w:color w:val="auto"/>
          <w:kern w:val="0"/>
          <w:sz w:val="32"/>
          <w:szCs w:val="32"/>
          <w:highlight w:val="none"/>
        </w:rPr>
        <w:t>制（繁）种基地项目中，除三大国家级育制种基地外，中央投资占项目总投资比例不超过40％。项目中央投资不低于1000万元，且不高于1200万元，中央投资主要用于项目中具有一定公益性质的基础设施建设。</w:t>
      </w:r>
      <w:bookmarkEnd w:id="3"/>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二、畜禽现代种业提升工程项目</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（一）畜禽种质资源保护利用能力提升项目</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依托国家级畜禽遗传资源保种场和科研单位等，建设基因库、保种场、保护区，构建以畜禽基因与活体保护、原位与异位保护相结合的资源保护体系，重点保护国家级畜禽遗传资源，兼顾国家公布的新发现种质资源和地方保护品种，为畜禽品种选育提供遗传资源。同时，推动形成政府、科研单位、企业等多元主体共同参与的保种格局。</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国家畜禽基因库主要建设内容包括采精室、胚胎室、药浴池、库房等生产性基础设施，以及污水处理设备、实验仪器设备、物联网系统和种质资源信息共享网络服务系统等。保种场和保护区主要建设内容包括建设标准化畜禽棚舍、孵化厅、药浴池、库房、加工车间、青贮窖等生产性基础设施以及场区道路、污水处理池、围墙等辅助设施，配套生产性能测定、疫病监测净化、防疫、病死畜禽无害化处理等设施设备，构建试验物联网系统和种质资源信息共享网络服务系统，在保护区设立界碑、指示牌、宣传牌等区界设施和宣传设施。</w:t>
      </w:r>
    </w:p>
    <w:p>
      <w:pPr>
        <w:adjustRightInd w:val="0"/>
        <w:snapToGrid w:val="0"/>
        <w:spacing w:line="590" w:lineRule="exact"/>
        <w:ind w:firstLine="643" w:firstLineChars="200"/>
        <w:rPr>
          <w:rFonts w:hint="eastAsia" w:ascii="仿宋_GB2312" w:hAnsi="仿宋_GB2312" w:eastAsia="仿宋_GB2312" w:cs="仿宋_GB2312"/>
          <w:color w:val="C00000"/>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按照填平补齐的原则，对现有的国家级畜禽基因库进行改扩建，项目由农业农村部直属单位承担。在畜禽品种丰富的重点省（市）和种业发达地区，支持新建1个国家区域性畜禽基因库，布局在蒙。以现有国家级种质资源保种场和保护区为基础，结合实际采取“一场一地”保护或“数场多地”联合协同多主体保护方式，</w:t>
      </w:r>
      <w:r>
        <w:rPr>
          <w:rFonts w:hint="eastAsia" w:ascii="仿宋_GB2312" w:hAnsi="仿宋_GB2312" w:eastAsia="仿宋_GB2312" w:cs="仿宋_GB2312"/>
          <w:color w:val="000000"/>
          <w:kern w:val="0"/>
          <w:sz w:val="32"/>
          <w:szCs w:val="32"/>
          <w:highlight w:val="none"/>
        </w:rPr>
        <w:t>建设保种场和保护区项目1</w:t>
      </w:r>
      <w:r>
        <w:rPr>
          <w:rFonts w:hint="eastAsia" w:ascii="仿宋_GB2312" w:hAnsi="仿宋_GB2312" w:cs="仿宋_GB2312"/>
          <w:color w:val="000000"/>
          <w:kern w:val="0"/>
          <w:sz w:val="32"/>
          <w:szCs w:val="32"/>
          <w:highlight w:val="none"/>
          <w:lang w:val="en-US" w:eastAsia="zh-CN"/>
        </w:rPr>
        <w:t>3</w:t>
      </w:r>
      <w:r>
        <w:rPr>
          <w:rFonts w:hint="eastAsia" w:ascii="仿宋_GB2312" w:hAnsi="仿宋_GB2312" w:eastAsia="仿宋_GB2312" w:cs="仿宋_GB2312"/>
          <w:color w:val="000000"/>
          <w:kern w:val="0"/>
          <w:sz w:val="32"/>
          <w:szCs w:val="32"/>
          <w:highlight w:val="none"/>
        </w:rPr>
        <w:t>个。其中，农业农村部直属单位项目</w:t>
      </w:r>
      <w:r>
        <w:rPr>
          <w:rFonts w:hint="eastAsia" w:ascii="仿宋_GB2312" w:hAnsi="仿宋_GB2312" w:cs="仿宋_GB2312"/>
          <w:color w:val="000000"/>
          <w:kern w:val="0"/>
          <w:sz w:val="32"/>
          <w:szCs w:val="32"/>
          <w:highlight w:val="none"/>
          <w:lang w:val="en-US" w:eastAsia="zh-CN"/>
        </w:rPr>
        <w:t>3</w:t>
      </w:r>
      <w:r>
        <w:rPr>
          <w:rFonts w:hint="eastAsia" w:ascii="仿宋_GB2312" w:hAnsi="仿宋_GB2312" w:eastAsia="仿宋_GB2312" w:cs="仿宋_GB2312"/>
          <w:color w:val="000000"/>
          <w:kern w:val="0"/>
          <w:sz w:val="32"/>
          <w:szCs w:val="32"/>
          <w:highlight w:val="none"/>
        </w:rPr>
        <w:t>个；地方项目</w:t>
      </w:r>
      <w:r>
        <w:rPr>
          <w:rFonts w:hint="eastAsia" w:ascii="仿宋_GB2312" w:hAnsi="仿宋_GB2312" w:cs="仿宋_GB2312"/>
          <w:color w:val="000000"/>
          <w:kern w:val="0"/>
          <w:sz w:val="32"/>
          <w:szCs w:val="32"/>
          <w:highlight w:val="none"/>
          <w:lang w:val="en-US" w:eastAsia="zh-CN"/>
        </w:rPr>
        <w:t>10</w:t>
      </w:r>
      <w:r>
        <w:rPr>
          <w:rFonts w:hint="eastAsia" w:ascii="仿宋_GB2312" w:hAnsi="仿宋_GB2312" w:eastAsia="仿宋_GB2312" w:cs="仿宋_GB2312"/>
          <w:color w:val="000000"/>
          <w:kern w:val="0"/>
          <w:sz w:val="32"/>
          <w:szCs w:val="32"/>
          <w:highlight w:val="none"/>
        </w:rPr>
        <w:t>个，布局在沪、蒙、闽、粤、桂、青</w:t>
      </w:r>
      <w:r>
        <w:rPr>
          <w:rFonts w:hint="eastAsia" w:ascii="仿宋_GB2312" w:hAnsi="仿宋_GB2312" w:cs="仿宋_GB2312"/>
          <w:color w:val="000000"/>
          <w:kern w:val="0"/>
          <w:sz w:val="32"/>
          <w:szCs w:val="32"/>
          <w:highlight w:val="none"/>
          <w:lang w:val="en-US" w:eastAsia="zh-CN"/>
        </w:rPr>
        <w:t>6</w:t>
      </w:r>
      <w:r>
        <w:rPr>
          <w:rFonts w:hint="eastAsia" w:ascii="仿宋_GB2312" w:hAnsi="仿宋_GB2312" w:eastAsia="仿宋_GB2312" w:cs="仿宋_GB2312"/>
          <w:color w:val="000000"/>
          <w:kern w:val="0"/>
          <w:sz w:val="32"/>
          <w:szCs w:val="32"/>
          <w:highlight w:val="none"/>
        </w:rPr>
        <w:t>省（区、市）。</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国家区域性畜禽基因库由畜禽品种丰富的重点省（市）和种业发达地区具有一定基础条件的事业单位承担；国家畜禽保种场和保护区建设项目重点支持列入《国家级畜禽遗传资源保护名录》，尚未建立保种场或保护区的畜禽遗传资源，同时兼顾其他列入《国家级畜禽遗传资源保护名录》的畜禽品种资源和部分列入省级保护名录的濒危品种。</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项目中央投资不低于1000万元，东部、中部、西部、东北地区中央投资分别不超过项目总投资的70%、80%、90%、90%，由部直属单位承建的项目投资全部由中央安排。其中，国家区域性畜禽基因库中央投资不高于3000万元；保种场（保护区）项目中央投资不高于1200万元。</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（二）畜禽育种创新能力提升项目</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根据提升自主育种创新能力、保障主要畜产品市场有效供给的要求，支持有实力的国家畜禽核心育种场、科研教学等单位，有效利用地方畜禽种质资源和引进优良品种资源，加强主要畜种选育和新品种培育，为提高畜禽产品产量和质量提供支撑。支持一批大型育繁推一体化畜禽种业企业，延伸产业链条，推进联合育种，全面提升育种水平、供种能力和推广服务能力，打造一批国内先进、国际一流的畜禽育种品牌。</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主要建设内容包括建设标准化畜禽棚舍、育种实验室等土建工程，配套性能测定、疫病监测净化、胚胎移植、育种信息处理平台等仪器设备，购置母畜、胚胎、冻精等育种材料。择优支持部分大型育繁推一体化畜禽企业，完善育种创新、标准化繁种、科技推广等方面设施装备。</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规划建设畜禽育种创新项目</w:t>
      </w:r>
      <w:r>
        <w:rPr>
          <w:rFonts w:hint="eastAsia" w:ascii="仿宋_GB2312" w:hAnsi="仿宋_GB2312" w:cs="仿宋_GB2312"/>
          <w:color w:val="auto"/>
          <w:kern w:val="0"/>
          <w:sz w:val="32"/>
          <w:szCs w:val="32"/>
          <w:highlight w:val="none"/>
          <w:lang w:val="en-US" w:eastAsia="zh-CN"/>
        </w:rPr>
        <w:t>6</w:t>
      </w:r>
      <w:r>
        <w:rPr>
          <w:rFonts w:hint="eastAsia" w:ascii="仿宋_GB2312" w:hAnsi="仿宋_GB2312" w:eastAsia="仿宋_GB2312" w:cs="仿宋_GB2312"/>
          <w:color w:val="auto"/>
          <w:kern w:val="0"/>
          <w:sz w:val="32"/>
          <w:szCs w:val="32"/>
          <w:highlight w:val="none"/>
        </w:rPr>
        <w:t>个。包括牛</w:t>
      </w:r>
      <w:r>
        <w:rPr>
          <w:rFonts w:hint="eastAsia" w:ascii="仿宋_GB2312" w:hAnsi="仿宋_GB2312" w:cs="仿宋_GB2312"/>
          <w:color w:val="auto"/>
          <w:kern w:val="0"/>
          <w:sz w:val="32"/>
          <w:szCs w:val="32"/>
          <w:highlight w:val="none"/>
          <w:lang w:val="en-US" w:eastAsia="zh-CN"/>
        </w:rPr>
        <w:t>2</w:t>
      </w:r>
      <w:r>
        <w:rPr>
          <w:rFonts w:hint="eastAsia" w:ascii="仿宋_GB2312" w:hAnsi="仿宋_GB2312" w:eastAsia="仿宋_GB2312" w:cs="仿宋_GB2312"/>
          <w:color w:val="auto"/>
          <w:kern w:val="0"/>
          <w:sz w:val="32"/>
          <w:szCs w:val="32"/>
          <w:highlight w:val="none"/>
        </w:rPr>
        <w:t>个，布局在京；禽类</w:t>
      </w:r>
      <w:r>
        <w:rPr>
          <w:rFonts w:hint="eastAsia" w:ascii="仿宋_GB2312" w:hAnsi="仿宋_GB2312" w:cs="仿宋_GB2312"/>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rPr>
        <w:t>个，布局在蒙；马（驴）3个，布局在蒙、辽、青3省（区）。</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重点支持综合实力强、发展后劲足、运转机制活的育种企业承担，优先支持国家畜禽核心育种场。项目承担单位应具有与项目品种对应的《种畜禽生产经营许可证》，有专门的育种部门和技术团队，并与科研院校保持长期稳定的技术合作关系，参加国家或省级良种联合攻关的企业优先安排。具体申报条件如下：</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肉牛育种创新项目。核心群母牛需满足：地方品种单品种基础母牛存栏100头以上或引进品种单品种基础母牛200头以上，具备培育种牛的基础条件和技术力量等，优先支持已开展种牛生产性能测定工作并上报数据，并与种公牛站签订种公牛培育合作协议的种牛场。</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奶牛育种创新项目。重点支持荷斯坦牛，兼顾娟珊牛和乳肉兼用牛，核心育种群成年母牛存栏400头以上，具备培育种牛的条件和能力。优先支持开展奶牛生产性能测定并上报数据，并与种公牛站签订种公牛培育合作协议的牛场。</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 xml:space="preserve">鸡育种创新项目。蛋鸡种鸡场基础群存栏2万套以上，具备4个以上的蛋鸡品系纯系，至少有形成1个配套系的供种能力，建有2万只以上育种笼位，能持续开展5个以上杂交组合的配合力测定。肉鸡种鸡场基础群存栏3万套以上，具备育种素材4个以上，至少有形成1个配套系的供种能力，建有2万只以上育种笼位，能持续开展5个以上杂交组合的配合力测定。 </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马、驴等特色畜种育种创新项目。品种具有独特特性和市场前景。良种马或良种驴核心群500头以上，每个单位至少具备培育专门化品系或品种的素材2个。重点支持已有育种基础并取得成效，场内具有标准化配种站、品种登记、带动能力强的单位。</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以大型育繁推一体化龙头企业投资为主，中央投资占项目总投资比例不超过40％。项目中央投资不低于1000万元，且不高于1100万元，中央投资主要用于项目中具有一定公益性质的基础设施建设。</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（三）畜禽品种性能测定能力提升项目</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对畜禽新品种的生产性能进行测定评价，开展遗传评估，为新品种推广和种业监管提供技术支撑。</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品种测定站主要建设内容包括建设畜禽性能测定舍、隔离舍、饲草料库、污水处理池及其他场区工程等，配备饲喂自动供给测量系统、生产性能测定软件系统、检验检测仪器设备、病死畜禽无害化处理设备、配种防疫设备和冻精保存运输器械，建立信息处理平台。</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按照全国主要畜禽品种生产布局，以现有获得资格认定和计量认证的部级和省级性能测定站为基础，建设品种性能测定站</w:t>
      </w:r>
      <w:r>
        <w:rPr>
          <w:rFonts w:hint="eastAsia" w:ascii="仿宋_GB2312" w:hAnsi="仿宋_GB2312" w:cs="仿宋_GB2312"/>
          <w:color w:val="auto"/>
          <w:kern w:val="0"/>
          <w:sz w:val="32"/>
          <w:szCs w:val="32"/>
          <w:highlight w:val="none"/>
          <w:lang w:val="en-US" w:eastAsia="zh-CN"/>
        </w:rPr>
        <w:t>9</w:t>
      </w:r>
      <w:r>
        <w:rPr>
          <w:rFonts w:hint="eastAsia" w:ascii="仿宋_GB2312" w:hAnsi="仿宋_GB2312" w:eastAsia="仿宋_GB2312" w:cs="仿宋_GB2312"/>
          <w:color w:val="auto"/>
          <w:kern w:val="0"/>
          <w:sz w:val="32"/>
          <w:szCs w:val="32"/>
          <w:highlight w:val="none"/>
        </w:rPr>
        <w:t>个，包括猪</w:t>
      </w:r>
      <w:r>
        <w:rPr>
          <w:rFonts w:hint="eastAsia" w:ascii="仿宋_GB2312" w:hAnsi="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rPr>
        <w:t>个，布局在京、冀、鲁、粤</w:t>
      </w:r>
      <w:r>
        <w:rPr>
          <w:rFonts w:hint="eastAsia" w:ascii="仿宋_GB2312" w:hAnsi="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rPr>
        <w:t>省（市）；牛</w:t>
      </w:r>
      <w:r>
        <w:rPr>
          <w:rFonts w:hint="eastAsia" w:ascii="仿宋_GB2312" w:hAnsi="仿宋_GB2312" w:cs="仿宋_GB2312"/>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rPr>
        <w:t>个，布局在京；羊</w:t>
      </w:r>
      <w:r>
        <w:rPr>
          <w:rFonts w:hint="eastAsia" w:ascii="仿宋_GB2312" w:hAnsi="仿宋_GB2312" w:cs="仿宋_GB2312"/>
          <w:color w:val="auto"/>
          <w:kern w:val="0"/>
          <w:sz w:val="32"/>
          <w:szCs w:val="32"/>
          <w:highlight w:val="none"/>
          <w:lang w:val="en-US" w:eastAsia="zh-CN"/>
        </w:rPr>
        <w:t>2</w:t>
      </w:r>
      <w:r>
        <w:rPr>
          <w:rFonts w:hint="eastAsia" w:ascii="仿宋_GB2312" w:hAnsi="仿宋_GB2312" w:eastAsia="仿宋_GB2312" w:cs="仿宋_GB2312"/>
          <w:color w:val="auto"/>
          <w:kern w:val="0"/>
          <w:sz w:val="32"/>
          <w:szCs w:val="32"/>
          <w:highlight w:val="none"/>
        </w:rPr>
        <w:t>个，布局在鲁、滇</w:t>
      </w:r>
      <w:r>
        <w:rPr>
          <w:rFonts w:hint="eastAsia" w:ascii="仿宋_GB2312" w:hAnsi="仿宋_GB2312" w:cs="仿宋_GB2312"/>
          <w:color w:val="auto"/>
          <w:kern w:val="0"/>
          <w:sz w:val="32"/>
          <w:szCs w:val="32"/>
          <w:highlight w:val="none"/>
          <w:lang w:val="en-US" w:eastAsia="zh-CN"/>
        </w:rPr>
        <w:t>2</w:t>
      </w:r>
      <w:r>
        <w:rPr>
          <w:rFonts w:hint="eastAsia" w:ascii="仿宋_GB2312" w:hAnsi="仿宋_GB2312" w:eastAsia="仿宋_GB2312" w:cs="仿宋_GB2312"/>
          <w:color w:val="auto"/>
          <w:kern w:val="0"/>
          <w:sz w:val="32"/>
          <w:szCs w:val="32"/>
          <w:highlight w:val="none"/>
        </w:rPr>
        <w:t>个省（区）；禽类</w:t>
      </w:r>
      <w:r>
        <w:rPr>
          <w:rFonts w:hint="eastAsia" w:ascii="仿宋_GB2312" w:hAnsi="仿宋_GB2312" w:cs="仿宋_GB2312"/>
          <w:color w:val="auto"/>
          <w:kern w:val="0"/>
          <w:sz w:val="32"/>
          <w:szCs w:val="32"/>
          <w:highlight w:val="none"/>
          <w:lang w:val="en-US" w:eastAsia="zh-CN"/>
        </w:rPr>
        <w:t>2</w:t>
      </w:r>
      <w:r>
        <w:rPr>
          <w:rFonts w:hint="eastAsia" w:ascii="仿宋_GB2312" w:hAnsi="仿宋_GB2312" w:eastAsia="仿宋_GB2312" w:cs="仿宋_GB2312"/>
          <w:color w:val="auto"/>
          <w:kern w:val="0"/>
          <w:sz w:val="32"/>
          <w:szCs w:val="32"/>
          <w:highlight w:val="none"/>
        </w:rPr>
        <w:t>个，布局在京、浙</w:t>
      </w:r>
      <w:r>
        <w:rPr>
          <w:rFonts w:hint="eastAsia" w:ascii="仿宋_GB2312" w:hAnsi="仿宋_GB2312" w:cs="仿宋_GB2312"/>
          <w:color w:val="auto"/>
          <w:kern w:val="0"/>
          <w:sz w:val="32"/>
          <w:szCs w:val="32"/>
          <w:highlight w:val="none"/>
          <w:lang w:val="en-US" w:eastAsia="zh-CN"/>
        </w:rPr>
        <w:t>2</w:t>
      </w:r>
      <w:r>
        <w:rPr>
          <w:rFonts w:hint="eastAsia" w:ascii="仿宋_GB2312" w:hAnsi="仿宋_GB2312" w:eastAsia="仿宋_GB2312" w:cs="仿宋_GB2312"/>
          <w:color w:val="auto"/>
          <w:kern w:val="0"/>
          <w:sz w:val="32"/>
          <w:szCs w:val="32"/>
          <w:highlight w:val="none"/>
        </w:rPr>
        <w:t>省（市）。</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品种测定站建设项目申报单位需具有相应的种畜禽测定、品种鉴定等业务能力和基础，配备有相应技术人员，资产和财务状况良好，运转机制灵活，有稳定的运行经费来源。</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按照东部地区不超过60％、中部地区不超过70％、西部地区不超过80％的补助比例安排中央投资。项目中央投资不低于1000万元，且不高于1200万元。</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（四）畜禽制（繁）种能力提升项目</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以保障优良畜禽供应为目标，新建和改扩建种公畜站，提升畜禽生产能力和生产质量。</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主要建设内容包括建设标准化畜禽圈舍、青贮池等设施及配套养殖设备、良种登记管理信息系统等。</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新建、改造种公猪站</w:t>
      </w:r>
      <w:r>
        <w:rPr>
          <w:rFonts w:hint="eastAsia" w:ascii="仿宋_GB2312" w:hAnsi="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rPr>
        <w:t>个，布局在冀、沪、湘、粤</w:t>
      </w:r>
      <w:r>
        <w:rPr>
          <w:rFonts w:hint="eastAsia" w:ascii="仿宋_GB2312" w:hAnsi="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rPr>
        <w:t>省（市）；改造种公牛站</w:t>
      </w:r>
      <w:r>
        <w:rPr>
          <w:rFonts w:hint="eastAsia" w:ascii="仿宋_GB2312" w:hAnsi="仿宋_GB2312" w:cs="仿宋_GB2312"/>
          <w:color w:val="auto"/>
          <w:kern w:val="0"/>
          <w:sz w:val="32"/>
          <w:szCs w:val="32"/>
          <w:highlight w:val="none"/>
          <w:lang w:val="en-US" w:eastAsia="zh-CN"/>
        </w:rPr>
        <w:t>8</w:t>
      </w:r>
      <w:r>
        <w:rPr>
          <w:rFonts w:hint="eastAsia" w:ascii="仿宋_GB2312" w:hAnsi="仿宋_GB2312" w:eastAsia="仿宋_GB2312" w:cs="仿宋_GB2312"/>
          <w:color w:val="auto"/>
          <w:kern w:val="0"/>
          <w:sz w:val="32"/>
          <w:szCs w:val="32"/>
          <w:highlight w:val="none"/>
        </w:rPr>
        <w:t>个，布局在京、冀、沪、鲁、陕、甘、青、大连</w:t>
      </w:r>
      <w:r>
        <w:rPr>
          <w:rFonts w:hint="eastAsia" w:ascii="仿宋_GB2312" w:hAnsi="仿宋_GB2312" w:cs="仿宋_GB2312"/>
          <w:color w:val="auto"/>
          <w:kern w:val="0"/>
          <w:sz w:val="32"/>
          <w:szCs w:val="32"/>
          <w:highlight w:val="none"/>
          <w:lang w:val="en-US" w:eastAsia="zh-CN"/>
        </w:rPr>
        <w:t>8</w:t>
      </w:r>
      <w:r>
        <w:rPr>
          <w:rFonts w:hint="eastAsia" w:ascii="仿宋_GB2312" w:hAnsi="仿宋_GB2312" w:eastAsia="仿宋_GB2312" w:cs="仿宋_GB2312"/>
          <w:color w:val="auto"/>
          <w:kern w:val="0"/>
          <w:sz w:val="32"/>
          <w:szCs w:val="32"/>
          <w:highlight w:val="none"/>
        </w:rPr>
        <w:t>省（区、市）。</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种公猪站建设项目申报单位存栏采精种公猪200头以上，其中有生产性能测定成绩的超过50%，取得《种畜禽生产经营许可证》。重点支持国家核心种公猪站和国家核心育种场建设种公猪站，兼顾品种改良种公猪站。</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种公牛站建设项目申报单位需存栏一定数量在用种公牛，取得《种畜禽生产经营许可证》。重点支持与国家核心育种场联合育种的种公牛站，兼顾品种改良种公牛站。</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制（繁）种基地项目中，中央投资占项目总投资比例不超过40％。项目中央投资不低于1000万元，且不高于1100万元，中央投资主要用于项目中具有一定公益性质的基础设施建设。</w:t>
      </w:r>
    </w:p>
    <w:p>
      <w:pPr>
        <w:pStyle w:val="7"/>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三、联系方式</w:t>
      </w:r>
    </w:p>
    <w:p>
      <w:pPr>
        <w:pStyle w:val="7"/>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cs="仿宋_GB2312"/>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rPr>
        <w:t>种业管理处</w:t>
      </w:r>
    </w:p>
    <w:p>
      <w:pPr>
        <w:pStyle w:val="7"/>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联 系 人：</w:t>
      </w:r>
      <w:r>
        <w:rPr>
          <w:rFonts w:hint="eastAsia" w:ascii="仿宋_GB2312" w:hAnsi="仿宋_GB2312" w:cs="仿宋_GB2312"/>
          <w:color w:val="auto"/>
          <w:kern w:val="0"/>
          <w:sz w:val="32"/>
          <w:szCs w:val="32"/>
          <w:highlight w:val="none"/>
          <w:lang w:eastAsia="zh-CN"/>
        </w:rPr>
        <w:t>刘凯</w:t>
      </w:r>
      <w:r>
        <w:rPr>
          <w:rFonts w:hint="eastAsia" w:ascii="仿宋_GB2312" w:hAnsi="仿宋_GB2312" w:eastAsia="仿宋_GB2312" w:cs="仿宋_GB2312"/>
          <w:color w:val="auto"/>
          <w:kern w:val="0"/>
          <w:sz w:val="32"/>
          <w:szCs w:val="32"/>
          <w:highlight w:val="none"/>
        </w:rPr>
        <w:t xml:space="preserve">     </w:t>
      </w:r>
    </w:p>
    <w:p>
      <w:pPr>
        <w:pStyle w:val="7"/>
        <w:adjustRightInd w:val="0"/>
        <w:snapToGrid w:val="0"/>
        <w:spacing w:line="590" w:lineRule="exact"/>
        <w:ind w:firstLine="640" w:firstLineChars="200"/>
        <w:rPr>
          <w:rFonts w:hint="eastAsia" w:ascii="仿宋_GB2312" w:hAnsi="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联系电话：</w:t>
      </w:r>
      <w:r>
        <w:rPr>
          <w:rFonts w:hint="eastAsia" w:ascii="仿宋_GB2312" w:hAnsi="仿宋_GB2312" w:cs="仿宋_GB2312"/>
          <w:color w:val="auto"/>
          <w:kern w:val="0"/>
          <w:sz w:val="32"/>
          <w:szCs w:val="32"/>
          <w:highlight w:val="none"/>
          <w:lang w:val="en-US" w:eastAsia="zh-CN"/>
        </w:rPr>
        <w:t>020-37288069</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cs="仿宋_GB2312"/>
          <w:color w:val="auto"/>
          <w:kern w:val="0"/>
          <w:sz w:val="32"/>
          <w:szCs w:val="32"/>
          <w:highlight w:val="none"/>
          <w:lang w:val="en-US" w:eastAsia="zh-CN"/>
        </w:rPr>
        <w:t>2.</w:t>
      </w:r>
      <w:r>
        <w:rPr>
          <w:rFonts w:hint="eastAsia" w:ascii="仿宋_GB2312" w:hAnsi="仿宋_GB2312" w:eastAsia="仿宋_GB2312" w:cs="仿宋_GB2312"/>
          <w:color w:val="auto"/>
          <w:kern w:val="0"/>
          <w:sz w:val="32"/>
          <w:szCs w:val="32"/>
          <w:highlight w:val="none"/>
        </w:rPr>
        <w:t>科技教育处</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联 系 人：</w:t>
      </w:r>
      <w:r>
        <w:rPr>
          <w:rFonts w:hint="eastAsia" w:ascii="仿宋_GB2312" w:hAnsi="仿宋_GB2312" w:cs="仿宋_GB2312"/>
          <w:color w:val="auto"/>
          <w:kern w:val="0"/>
          <w:sz w:val="32"/>
          <w:szCs w:val="32"/>
          <w:highlight w:val="none"/>
          <w:lang w:eastAsia="zh-CN"/>
        </w:rPr>
        <w:t>李振柱</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yellow"/>
          <w:lang w:val="en-US" w:eastAsia="zh-CN"/>
        </w:rPr>
      </w:pPr>
      <w:r>
        <w:rPr>
          <w:rFonts w:hint="eastAsia" w:ascii="仿宋_GB2312" w:hAnsi="仿宋_GB2312" w:eastAsia="仿宋_GB2312" w:cs="仿宋_GB2312"/>
          <w:color w:val="auto"/>
          <w:kern w:val="0"/>
          <w:sz w:val="32"/>
          <w:szCs w:val="32"/>
          <w:highlight w:val="none"/>
        </w:rPr>
        <w:t>联系电话：</w:t>
      </w:r>
      <w:r>
        <w:rPr>
          <w:rFonts w:hint="eastAsia" w:ascii="仿宋_GB2312" w:hAnsi="仿宋_GB2312" w:cs="仿宋_GB2312"/>
          <w:color w:val="auto"/>
          <w:kern w:val="0"/>
          <w:sz w:val="32"/>
          <w:szCs w:val="32"/>
          <w:highlight w:val="none"/>
          <w:lang w:val="en-US" w:eastAsia="zh-CN"/>
        </w:rPr>
        <w:t>020-37288842</w:t>
      </w:r>
    </w:p>
    <w:p>
      <w:pPr>
        <w:pStyle w:val="21"/>
        <w:adjustRightInd w:val="0"/>
        <w:snapToGrid w:val="0"/>
        <w:spacing w:line="590" w:lineRule="exact"/>
        <w:ind w:firstLine="640"/>
        <w:rPr>
          <w:rFonts w:hint="eastAsia" w:ascii="仿宋_GB2312" w:hAnsi="仿宋_GB2312" w:cs="仿宋_GB2312"/>
          <w:color w:val="auto"/>
          <w:kern w:val="0"/>
          <w:highlight w:val="none"/>
        </w:rPr>
      </w:pPr>
    </w:p>
    <w:p>
      <w:pPr>
        <w:widowControl w:val="0"/>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br w:type="page"/>
      </w:r>
    </w:p>
    <w:p>
      <w:pPr>
        <w:adjustRightInd w:val="0"/>
        <w:snapToGrid w:val="0"/>
        <w:spacing w:line="590" w:lineRule="exact"/>
        <w:ind w:firstLine="0" w:firstLineChars="0"/>
        <w:outlineLvl w:val="9"/>
        <w:rPr>
          <w:rFonts w:hint="eastAsia" w:ascii="黑体" w:hAnsi="黑体" w:eastAsia="黑体" w:cs="黑体"/>
          <w:color w:val="000000"/>
          <w:kern w:val="0"/>
          <w:sz w:val="32"/>
          <w:szCs w:val="32"/>
          <w:highlight w:val="none"/>
          <w:lang w:val="en-US"/>
        </w:rPr>
      </w:pPr>
      <w:r>
        <w:rPr>
          <w:rFonts w:hint="eastAsia" w:ascii="黑体" w:hAnsi="黑体" w:eastAsia="黑体" w:cs="黑体"/>
          <w:color w:val="000000"/>
          <w:kern w:val="0"/>
          <w:sz w:val="32"/>
          <w:szCs w:val="32"/>
          <w:highlight w:val="none"/>
        </w:rPr>
        <w:t>附件</w:t>
      </w:r>
      <w:r>
        <w:rPr>
          <w:rFonts w:hint="eastAsia" w:ascii="黑体" w:hAnsi="黑体" w:eastAsia="黑体" w:cs="黑体"/>
          <w:color w:val="000000"/>
          <w:kern w:val="0"/>
          <w:sz w:val="32"/>
          <w:szCs w:val="32"/>
          <w:highlight w:val="none"/>
          <w:lang w:val="en-US" w:eastAsia="zh-CN"/>
        </w:rPr>
        <w:t>1-2-2</w:t>
      </w:r>
    </w:p>
    <w:p>
      <w:pPr>
        <w:adjustRightInd w:val="0"/>
        <w:snapToGrid w:val="0"/>
        <w:spacing w:line="590" w:lineRule="exact"/>
        <w:ind w:firstLine="643" w:firstLineChars="200"/>
        <w:jc w:val="both"/>
        <w:rPr>
          <w:rFonts w:hint="eastAsia" w:ascii="仿宋_GB2312" w:hAnsi="仿宋_GB2312" w:eastAsia="仿宋_GB2312" w:cs="仿宋_GB2312"/>
          <w:b/>
          <w:bCs/>
          <w:color w:val="auto"/>
          <w:kern w:val="0"/>
          <w:sz w:val="32"/>
          <w:szCs w:val="32"/>
          <w:highlight w:val="none"/>
        </w:rPr>
      </w:pPr>
    </w:p>
    <w:p>
      <w:pPr>
        <w:adjustRightInd w:val="0"/>
        <w:snapToGrid w:val="0"/>
        <w:spacing w:line="590" w:lineRule="exact"/>
        <w:ind w:firstLine="0" w:firstLineChars="0"/>
        <w:jc w:val="center"/>
        <w:outlineLvl w:val="9"/>
        <w:rPr>
          <w:rFonts w:hint="eastAsia" w:ascii="方正小标宋简体" w:hAnsi="方正小标宋简体" w:eastAsia="方正小标宋简体" w:cs="方正小标宋简体"/>
          <w:b w:val="0"/>
          <w:bCs w:val="0"/>
          <w:color w:val="auto"/>
          <w:kern w:val="0"/>
          <w:sz w:val="44"/>
          <w:szCs w:val="44"/>
          <w:highlight w:val="none"/>
        </w:rPr>
      </w:pPr>
      <w:r>
        <w:rPr>
          <w:rFonts w:hint="eastAsia" w:ascii="方正小标宋简体" w:hAnsi="方正小标宋简体" w:eastAsia="方正小标宋简体" w:cs="方正小标宋简体"/>
          <w:b w:val="0"/>
          <w:bCs w:val="0"/>
          <w:color w:val="auto"/>
          <w:kern w:val="0"/>
          <w:sz w:val="44"/>
          <w:szCs w:val="44"/>
          <w:highlight w:val="none"/>
        </w:rPr>
        <w:t>现代种业提升工程项目储备指南</w:t>
      </w:r>
    </w:p>
    <w:p>
      <w:pPr>
        <w:adjustRightInd w:val="0"/>
        <w:snapToGrid w:val="0"/>
        <w:spacing w:line="590" w:lineRule="exact"/>
        <w:ind w:firstLine="0" w:firstLineChars="0"/>
        <w:jc w:val="center"/>
        <w:rPr>
          <w:rFonts w:hint="eastAsia" w:ascii="楷体_GB2312" w:hAnsi="楷体_GB2312" w:eastAsia="楷体_GB2312" w:cs="楷体_GB2312"/>
          <w:color w:val="auto"/>
          <w:kern w:val="0"/>
          <w:sz w:val="32"/>
          <w:szCs w:val="32"/>
          <w:highlight w:val="none"/>
        </w:rPr>
      </w:pPr>
      <w:r>
        <w:rPr>
          <w:rFonts w:hint="eastAsia" w:ascii="楷体_GB2312" w:hAnsi="楷体_GB2312" w:eastAsia="楷体_GB2312" w:cs="楷体_GB2312"/>
          <w:color w:val="auto"/>
          <w:kern w:val="0"/>
          <w:sz w:val="32"/>
          <w:szCs w:val="32"/>
          <w:highlight w:val="none"/>
        </w:rPr>
        <w:t>（水产良种类）</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一、种质资源保护利用能力提升项目</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（一）种质资源库项目</w:t>
      </w:r>
    </w:p>
    <w:p>
      <w:pPr>
        <w:adjustRightInd w:val="0"/>
        <w:snapToGrid w:val="0"/>
        <w:spacing w:line="590" w:lineRule="exact"/>
        <w:ind w:firstLine="643" w:firstLineChars="200"/>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根据渔业生物种质资源分布特点，结合渔业种质资源保存现状和需求，分区域、有重点建设一批</w:t>
      </w:r>
      <w:r>
        <w:rPr>
          <w:rFonts w:hint="eastAsia" w:ascii="仿宋_GB2312" w:hAnsi="仿宋_GB2312" w:eastAsia="仿宋_GB2312" w:cs="仿宋_GB2312"/>
          <w:color w:val="auto"/>
          <w:kern w:val="0"/>
          <w:sz w:val="32"/>
          <w:szCs w:val="32"/>
          <w:highlight w:val="none"/>
          <w:lang w:val="en-US"/>
        </w:rPr>
        <w:t>海水</w:t>
      </w:r>
      <w:r>
        <w:rPr>
          <w:rFonts w:hint="eastAsia" w:ascii="仿宋_GB2312" w:hAnsi="仿宋_GB2312" w:eastAsia="仿宋_GB2312" w:cs="仿宋_GB2312"/>
          <w:color w:val="auto"/>
          <w:kern w:val="0"/>
          <w:sz w:val="32"/>
          <w:szCs w:val="32"/>
          <w:highlight w:val="none"/>
        </w:rPr>
        <w:t>种质资源库（主库和分库）。项目建成后，</w:t>
      </w:r>
      <w:r>
        <w:rPr>
          <w:rFonts w:hint="eastAsia" w:ascii="仿宋_GB2312" w:hAnsi="仿宋_GB2312" w:eastAsia="仿宋_GB2312" w:cs="仿宋_GB2312"/>
          <w:color w:val="auto"/>
          <w:kern w:val="0"/>
          <w:sz w:val="32"/>
          <w:szCs w:val="32"/>
          <w:highlight w:val="none"/>
          <w:lang w:val="en-US"/>
        </w:rPr>
        <w:t>海水</w:t>
      </w:r>
      <w:r>
        <w:rPr>
          <w:rFonts w:hint="eastAsia" w:ascii="仿宋_GB2312" w:hAnsi="仿宋_GB2312" w:eastAsia="仿宋_GB2312" w:cs="仿宋_GB2312"/>
          <w:color w:val="auto"/>
          <w:kern w:val="0"/>
          <w:sz w:val="32"/>
          <w:szCs w:val="32"/>
          <w:highlight w:val="none"/>
        </w:rPr>
        <w:t>种质资源库的保存、鉴定、评价能力明显提高。</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新建资源保存库，资源样本制备与检测、鉴定与评价、数据处理等工艺、业务、设备用房，配套建设场区工程、人防工程，购置必要的仪器设备。</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项目已列入《“十四五”现代种业提升工程建设规划》。</w:t>
      </w:r>
      <w:r>
        <w:rPr>
          <w:rFonts w:hint="eastAsia" w:ascii="仿宋_GB2312" w:hAnsi="仿宋_GB2312" w:cs="仿宋_GB2312"/>
          <w:color w:val="auto"/>
          <w:kern w:val="0"/>
          <w:highlight w:val="none"/>
        </w:rPr>
        <w:t>重点支持收集、整理、保存具有开发价值的主要渔业生物物种,以及将来有可能通过驯化手段形成的养殖新物种(品种)和病原微生物、有益微生物等。项目建设单位为省级以上农业科研院所、高等院校,在渔业种质资源的保存理论、新技术研究、标准制定等相关领域已具备较好前期工作基础,能够对种质资源材料进行定期更新、鉴定、评价,具备稳定的相关科研和管理人员队伍。房屋建筑物应在项目单位自有用地上建设,项目申报前应落实土地、规划等前置条件。项目6个,中央所属高校限报种质资源库分库1个,有关直属单位限报种质资源库主库2个、分库3个。</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000000"/>
          <w:kern w:val="0"/>
          <w:sz w:val="32"/>
          <w:szCs w:val="32"/>
          <w:highlight w:val="none"/>
        </w:rPr>
        <w:t>地方项目</w:t>
      </w:r>
      <w:r>
        <w:rPr>
          <w:rFonts w:hint="eastAsia" w:ascii="仿宋_GB2312" w:hAnsi="仿宋_GB2312" w:eastAsia="仿宋_GB2312" w:cs="仿宋_GB2312"/>
          <w:color w:val="auto"/>
          <w:kern w:val="0"/>
          <w:sz w:val="32"/>
          <w:szCs w:val="32"/>
          <w:highlight w:val="none"/>
        </w:rPr>
        <w:t>中央投资</w:t>
      </w:r>
      <w:r>
        <w:rPr>
          <w:rFonts w:hint="eastAsia" w:ascii="仿宋_GB2312" w:hAnsi="仿宋_GB2312" w:eastAsia="仿宋_GB2312" w:cs="仿宋_GB2312"/>
          <w:color w:val="auto"/>
          <w:kern w:val="0"/>
          <w:sz w:val="32"/>
          <w:szCs w:val="32"/>
          <w:highlight w:val="none"/>
          <w:lang w:eastAsia="zh-CN"/>
        </w:rPr>
        <w:t>东部、</w:t>
      </w:r>
      <w:r>
        <w:rPr>
          <w:rFonts w:hint="eastAsia" w:ascii="仿宋_GB2312" w:hAnsi="仿宋_GB2312" w:eastAsia="仿宋_GB2312" w:cs="仿宋_GB2312"/>
          <w:color w:val="auto"/>
          <w:kern w:val="0"/>
          <w:sz w:val="32"/>
          <w:szCs w:val="32"/>
          <w:highlight w:val="none"/>
        </w:rPr>
        <w:t>中部、西部、东北地区分别不超过项目总投资的70%、80%、90%、90%</w:t>
      </w:r>
      <w:r>
        <w:rPr>
          <w:rFonts w:hint="eastAsia" w:ascii="仿宋_GB2312" w:hAnsi="仿宋_GB2312" w:eastAsia="仿宋_GB2312" w:cs="仿宋_GB2312"/>
          <w:color w:val="000000"/>
          <w:kern w:val="0"/>
          <w:sz w:val="32"/>
          <w:szCs w:val="32"/>
          <w:highlight w:val="none"/>
        </w:rPr>
        <w:t>，且中央投资最多不超过2000万元。部直属单位项目全部为中央投资。</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（二）</w:t>
      </w:r>
      <w:r>
        <w:rPr>
          <w:rFonts w:hint="eastAsia" w:ascii="楷体_GB2312" w:hAnsi="楷体_GB2312" w:eastAsia="楷体_GB2312" w:cs="楷体_GB2312"/>
          <w:b w:val="0"/>
          <w:bCs w:val="0"/>
          <w:color w:val="auto"/>
          <w:kern w:val="0"/>
          <w:sz w:val="32"/>
          <w:szCs w:val="32"/>
          <w:highlight w:val="none"/>
          <w:lang w:val="en-US"/>
        </w:rPr>
        <w:t>海水</w:t>
      </w:r>
      <w:r>
        <w:rPr>
          <w:rFonts w:hint="eastAsia" w:ascii="楷体_GB2312" w:hAnsi="楷体_GB2312" w:eastAsia="楷体_GB2312" w:cs="楷体_GB2312"/>
          <w:b w:val="0"/>
          <w:bCs w:val="0"/>
          <w:color w:val="auto"/>
          <w:kern w:val="0"/>
          <w:sz w:val="32"/>
          <w:szCs w:val="32"/>
          <w:highlight w:val="none"/>
        </w:rPr>
        <w:t>水</w:t>
      </w:r>
      <w:r>
        <w:rPr>
          <w:rFonts w:hint="eastAsia" w:ascii="楷体_GB2312" w:hAnsi="楷体_GB2312" w:eastAsia="楷体_GB2312" w:cs="楷体_GB2312"/>
          <w:b w:val="0"/>
          <w:bCs w:val="0"/>
          <w:color w:val="auto"/>
          <w:kern w:val="0"/>
          <w:sz w:val="32"/>
          <w:szCs w:val="32"/>
          <w:highlight w:val="none"/>
          <w:lang w:val="en-US"/>
        </w:rPr>
        <w:t>产</w:t>
      </w:r>
      <w:r>
        <w:rPr>
          <w:rFonts w:hint="eastAsia" w:ascii="楷体_GB2312" w:hAnsi="楷体_GB2312" w:eastAsia="楷体_GB2312" w:cs="楷体_GB2312"/>
          <w:b w:val="0"/>
          <w:bCs w:val="0"/>
          <w:color w:val="auto"/>
          <w:kern w:val="0"/>
          <w:sz w:val="32"/>
          <w:szCs w:val="32"/>
          <w:highlight w:val="none"/>
        </w:rPr>
        <w:t>种质资源场项目</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根据现代种业发展的要求，突出薄弱环节，突出主要品种，突出优势区域，系统构建分级分类渔业生物种质资源保存体系要求，优先支持基础条件好的水产原良种场，建设完善一批种质资源场。项目完成后，水产原良种基础群体保存能力提高50%以上，优质亲本供应数量增加20%以上，种质保存和选育水平明显提升。</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主要建设内容包括催产和孵化车间、亲本池、苗种培育池等生产设施，配套进排水、电力、道路、动物无害化处理等工程，购置常规生物学仪器、水处理系统、养殖设施等。</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项目已列入《“十四五”现代种业提升工程建设规划》。重点支持列入《国家重点保护经济水生动植物资源名录》的品种、冷水性鱼类和通过国家审定的水产新品种。项目建设单位应具备省级（含）以上水产原良种场资质和独立法人资质，已取得水域滩涂养殖证和与申报品种对应的水产种苗生产许可证；具有三年以上申报品种的保种工作基础，配备足够的专业技术人员并有省级以上科研单位或高等院校作为技术依托；项目建设单位为农民专业合作社（组织）的，须具备经工商行政管理部门依法登记并取得农民专业合作社法人营业执照；项目原则上要求固定建筑物在自有土地上集中建设，生产实验用地需自有土地或租期15年以上的租用土地（“三区三州”项目可放宽至10年以上）。</w:t>
      </w:r>
      <w:r>
        <w:rPr>
          <w:rFonts w:hint="eastAsia" w:ascii="仿宋_GB2312" w:hAnsi="仿宋_GB2312" w:eastAsia="仿宋_GB2312" w:cs="仿宋_GB2312"/>
          <w:color w:val="auto"/>
          <w:kern w:val="0"/>
          <w:sz w:val="32"/>
          <w:szCs w:val="32"/>
          <w:highlight w:val="none"/>
          <w:lang w:eastAsia="zh-CN"/>
        </w:rPr>
        <w:t>国家水产种业阵型企业予以优先支持，</w:t>
      </w:r>
      <w:r>
        <w:rPr>
          <w:rFonts w:hint="eastAsia" w:ascii="仿宋_GB2312" w:hAnsi="仿宋_GB2312" w:eastAsia="仿宋_GB2312" w:cs="仿宋_GB2312"/>
          <w:color w:val="auto"/>
          <w:kern w:val="0"/>
          <w:sz w:val="32"/>
          <w:szCs w:val="32"/>
          <w:highlight w:val="none"/>
        </w:rPr>
        <w:t>其中北京、黑龙江、浙江、上海、湖南、青海</w:t>
      </w:r>
      <w:r>
        <w:rPr>
          <w:rFonts w:hint="eastAsia" w:ascii="仿宋_GB2312" w:hAnsi="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吉林各限报1个；江苏、贵州各限报2个；有关直属单位报</w:t>
      </w:r>
      <w:r>
        <w:rPr>
          <w:rFonts w:hint="eastAsia" w:ascii="仿宋_GB2312" w:hAnsi="仿宋_GB2312" w:cs="仿宋_GB2312"/>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rPr>
        <w:t>个。其他种类种质资源场项目，根据渔业资源分布状况和产业发展趋势确定。对保种群规模小、生物学特性相似或对环境条件等要求趋于一致的保种项目，鼓励各地进行统筹规划合并建设。</w:t>
      </w:r>
    </w:p>
    <w:p>
      <w:pPr>
        <w:adjustRightInd w:val="0"/>
        <w:snapToGrid w:val="0"/>
        <w:spacing w:line="590" w:lineRule="exact"/>
        <w:ind w:firstLine="643"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000000"/>
          <w:kern w:val="0"/>
          <w:sz w:val="32"/>
          <w:szCs w:val="32"/>
          <w:highlight w:val="none"/>
        </w:rPr>
        <w:t>地方项目</w:t>
      </w:r>
      <w:r>
        <w:rPr>
          <w:rFonts w:hint="eastAsia" w:ascii="仿宋_GB2312" w:hAnsi="仿宋_GB2312" w:eastAsia="仿宋_GB2312" w:cs="仿宋_GB2312"/>
          <w:color w:val="auto"/>
          <w:kern w:val="0"/>
          <w:sz w:val="32"/>
          <w:szCs w:val="32"/>
          <w:highlight w:val="none"/>
        </w:rPr>
        <w:t>中央投资</w:t>
      </w:r>
      <w:r>
        <w:rPr>
          <w:rFonts w:hint="eastAsia" w:ascii="仿宋_GB2312" w:hAnsi="仿宋_GB2312" w:eastAsia="仿宋_GB2312" w:cs="仿宋_GB2312"/>
          <w:color w:val="auto"/>
          <w:kern w:val="0"/>
          <w:sz w:val="32"/>
          <w:szCs w:val="32"/>
          <w:highlight w:val="none"/>
          <w:lang w:eastAsia="zh-CN"/>
        </w:rPr>
        <w:t>东部、</w:t>
      </w:r>
      <w:r>
        <w:rPr>
          <w:rFonts w:hint="eastAsia" w:ascii="仿宋_GB2312" w:hAnsi="仿宋_GB2312" w:eastAsia="仿宋_GB2312" w:cs="仿宋_GB2312"/>
          <w:color w:val="auto"/>
          <w:kern w:val="0"/>
          <w:sz w:val="32"/>
          <w:szCs w:val="32"/>
          <w:highlight w:val="none"/>
        </w:rPr>
        <w:t>中部、西部、东北地区分别不超过项目总投资的70%、80%、90%、90%</w:t>
      </w:r>
      <w:r>
        <w:rPr>
          <w:rFonts w:hint="eastAsia" w:ascii="仿宋_GB2312" w:hAnsi="仿宋_GB2312" w:eastAsia="仿宋_GB2312" w:cs="仿宋_GB2312"/>
          <w:color w:val="000000"/>
          <w:kern w:val="0"/>
          <w:sz w:val="32"/>
          <w:szCs w:val="32"/>
          <w:highlight w:val="none"/>
        </w:rPr>
        <w:t>，且中央投资最多不超过1000万元。部直属单位项目全部为中央投资。</w:t>
      </w: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二、育种创新能力提升项目</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w:t>
      </w:r>
      <w:r>
        <w:rPr>
          <w:rFonts w:hint="eastAsia" w:ascii="楷体_GB2312" w:hAnsi="楷体_GB2312" w:eastAsia="楷体_GB2312" w:cs="楷体_GB2312"/>
          <w:b w:val="0"/>
          <w:bCs w:val="0"/>
          <w:color w:val="auto"/>
          <w:kern w:val="0"/>
          <w:sz w:val="32"/>
          <w:szCs w:val="32"/>
          <w:highlight w:val="none"/>
          <w:lang w:val="en-US" w:eastAsia="zh-CN"/>
        </w:rPr>
        <w:t>一</w:t>
      </w:r>
      <w:r>
        <w:rPr>
          <w:rFonts w:hint="eastAsia" w:ascii="楷体_GB2312" w:hAnsi="楷体_GB2312" w:eastAsia="楷体_GB2312" w:cs="楷体_GB2312"/>
          <w:b w:val="0"/>
          <w:bCs w:val="0"/>
          <w:color w:val="auto"/>
          <w:kern w:val="0"/>
          <w:sz w:val="32"/>
          <w:szCs w:val="32"/>
          <w:highlight w:val="none"/>
        </w:rPr>
        <w:t>）水产种业育繁推一体化示范项目</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重点支持</w:t>
      </w:r>
      <w:r>
        <w:rPr>
          <w:rFonts w:hint="eastAsia" w:ascii="仿宋_GB2312" w:hAnsi="仿宋_GB2312" w:eastAsia="仿宋_GB2312" w:cs="仿宋_GB2312"/>
          <w:color w:val="auto"/>
          <w:kern w:val="0"/>
          <w:sz w:val="32"/>
          <w:szCs w:val="32"/>
          <w:highlight w:val="none"/>
          <w:lang w:val="en-US" w:eastAsia="zh-CN"/>
        </w:rPr>
        <w:t>2021年中国水产种业育繁推一体化优势企业、</w:t>
      </w:r>
      <w:r>
        <w:rPr>
          <w:rFonts w:hint="eastAsia" w:ascii="仿宋_GB2312" w:hAnsi="仿宋_GB2312" w:eastAsia="仿宋_GB2312" w:cs="仿宋_GB2312"/>
          <w:color w:val="auto"/>
          <w:kern w:val="0"/>
          <w:sz w:val="32"/>
          <w:szCs w:val="32"/>
          <w:highlight w:val="none"/>
        </w:rPr>
        <w:t>国家级水产原良种场或育繁推一体化大型水产种业企业，建设水产种业育繁推一体化示范项目。项目建成后，育种条件得到明显改善，育种创新能力显著提升，企业育繁推一体化发展能力明显增强。</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主要建设内容包括核心群体保存池、备份基地、催产和孵化车间、隔离检疫池等种质搜集保存设施，以及育种实验室、培育池、遗传性能对比测试设施，配套水处理系统、育种管理数据库、动物无害化处理设施，购置实验室仪器、标记设备、在线监测设备等。</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项目已列入《“十四五”现代种业提升工程建设规划》。承担育繁推一体化示范项目单位应具备独立法人资格，有独立或合作培育的通过国家审定的水产新品种；拥有商业化育种技术团队，其中专职从事育种科研的人员5名以上；有紧密的产学研推合作机制，有科（校）企合作协议，明确成果转化方式。重点支持综合实力强、发展后劲足、运转机制活的水产种业龙头企业承担。项目原则上要求固定建筑物在自有土地上集中建设，生产实验用地需自有土地或租期15年以上的租用土地（“三区三州”项目可放宽至10年以上）。北京、天津、大连、福建各限报1个；有关部直属单位限报3个。</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地方项目中央投资不超过项目总投资的40％，</w:t>
      </w:r>
      <w:r>
        <w:rPr>
          <w:rFonts w:hint="eastAsia" w:ascii="仿宋_GB2312" w:hAnsi="仿宋_GB2312" w:eastAsia="仿宋_GB2312" w:cs="仿宋_GB2312"/>
          <w:color w:val="000000"/>
          <w:kern w:val="0"/>
          <w:sz w:val="32"/>
          <w:szCs w:val="32"/>
          <w:highlight w:val="none"/>
        </w:rPr>
        <w:t>且中央投资最多不超过1000万元。</w:t>
      </w:r>
      <w:r>
        <w:rPr>
          <w:rFonts w:hint="eastAsia" w:ascii="仿宋_GB2312" w:hAnsi="仿宋_GB2312" w:eastAsia="仿宋_GB2312" w:cs="仿宋_GB2312"/>
          <w:color w:val="auto"/>
          <w:kern w:val="0"/>
          <w:sz w:val="32"/>
          <w:szCs w:val="32"/>
          <w:highlight w:val="none"/>
        </w:rPr>
        <w:t>中央投资主要用于项目中具有一定公益性质的基础设施建设。部直属单位育种创新项目全部为中央投资。</w:t>
      </w: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三、品种测试站项目</w:t>
      </w:r>
    </w:p>
    <w:p>
      <w:pPr>
        <w:pStyle w:val="12"/>
        <w:widowControl w:val="0"/>
        <w:adjustRightInd w:val="0"/>
        <w:snapToGrid w:val="0"/>
        <w:spacing w:before="0" w:beforeAutospacing="0" w:after="0" w:afterAutospacing="0" w:line="590" w:lineRule="exact"/>
        <w:ind w:firstLine="640" w:firstLineChars="200"/>
        <w:jc w:val="both"/>
        <w:rPr>
          <w:rFonts w:hint="eastAsia" w:ascii="仿宋_GB2312" w:hAnsi="仿宋_GB2312" w:eastAsia="仿宋_GB2312" w:cs="仿宋_GB2312"/>
          <w:color w:val="000000"/>
          <w:sz w:val="32"/>
          <w:szCs w:val="32"/>
          <w:highlight w:val="none"/>
        </w:rPr>
      </w:pPr>
      <w:r>
        <w:rPr>
          <w:rFonts w:hint="eastAsia" w:ascii="楷体_GB2312" w:hAnsi="楷体_GB2312" w:eastAsia="楷体_GB2312" w:cs="楷体_GB2312"/>
          <w:b w:val="0"/>
          <w:bCs w:val="0"/>
          <w:color w:val="auto"/>
          <w:kern w:val="0"/>
          <w:sz w:val="32"/>
          <w:szCs w:val="32"/>
          <w:highlight w:val="none"/>
        </w:rPr>
        <w:t>（一）建设要求。</w:t>
      </w:r>
      <w:r>
        <w:rPr>
          <w:rFonts w:hint="eastAsia" w:ascii="仿宋_GB2312" w:hAnsi="仿宋_GB2312" w:eastAsia="仿宋_GB2312" w:cs="仿宋_GB2312"/>
          <w:color w:val="000000"/>
          <w:sz w:val="32"/>
          <w:szCs w:val="32"/>
          <w:highlight w:val="none"/>
        </w:rPr>
        <w:t>根据现代种业发展的要求，在水产养殖主产区对重点水产新品种先行先试，开展水产新品种生产性能测试，为新品种保护、推广和市场监管提供技术支撑，优先支持基础条件好的省级及以上水产科研院所、水产推广机构和水产原良种场，建设一批水产新品种测试站。项目完成后，水产新品种生产性能测试相关基础条件、技术水平和公信力明显提升。</w:t>
      </w:r>
    </w:p>
    <w:p>
      <w:pPr>
        <w:pStyle w:val="12"/>
        <w:widowControl w:val="0"/>
        <w:adjustRightInd w:val="0"/>
        <w:snapToGrid w:val="0"/>
        <w:spacing w:before="0" w:beforeAutospacing="0" w:after="0" w:afterAutospacing="0" w:line="590" w:lineRule="exact"/>
        <w:ind w:firstLine="640" w:firstLineChars="200"/>
        <w:jc w:val="both"/>
        <w:rPr>
          <w:rFonts w:hint="eastAsia" w:ascii="仿宋_GB2312" w:hAnsi="仿宋_GB2312" w:eastAsia="仿宋_GB2312" w:cs="仿宋_GB2312"/>
          <w:color w:val="000000"/>
          <w:sz w:val="32"/>
          <w:szCs w:val="32"/>
          <w:highlight w:val="none"/>
        </w:rPr>
      </w:pPr>
      <w:r>
        <w:rPr>
          <w:rFonts w:hint="eastAsia" w:ascii="楷体_GB2312" w:hAnsi="楷体_GB2312" w:eastAsia="楷体_GB2312" w:cs="楷体_GB2312"/>
          <w:b w:val="0"/>
          <w:bCs w:val="0"/>
          <w:color w:val="auto"/>
          <w:kern w:val="0"/>
          <w:sz w:val="32"/>
          <w:szCs w:val="32"/>
          <w:highlight w:val="none"/>
        </w:rPr>
        <w:t>（二）建设内容：</w:t>
      </w:r>
      <w:r>
        <w:rPr>
          <w:rFonts w:hint="eastAsia" w:ascii="仿宋_GB2312" w:hAnsi="仿宋_GB2312" w:eastAsia="仿宋_GB2312" w:cs="仿宋_GB2312"/>
          <w:color w:val="auto"/>
          <w:sz w:val="32"/>
          <w:szCs w:val="32"/>
          <w:highlight w:val="none"/>
        </w:rPr>
        <w:t>新建或升级改造实验用房、测试车间、试验池塘等，并配套进排水系统、水处理系统等附属工程、信息及软件系统、科研仪器、监测设备等。</w:t>
      </w:r>
    </w:p>
    <w:p>
      <w:pPr>
        <w:pStyle w:val="12"/>
        <w:widowControl w:val="0"/>
        <w:adjustRightInd w:val="0"/>
        <w:snapToGrid w:val="0"/>
        <w:spacing w:before="0" w:beforeAutospacing="0" w:after="0" w:afterAutospacing="0" w:line="590" w:lineRule="exact"/>
        <w:ind w:firstLine="640" w:firstLineChars="200"/>
        <w:jc w:val="both"/>
        <w:rPr>
          <w:rFonts w:hint="eastAsia" w:ascii="仿宋_GB2312" w:hAnsi="仿宋_GB2312" w:eastAsia="仿宋_GB2312" w:cs="仿宋_GB2312"/>
          <w:color w:val="000000"/>
          <w:sz w:val="32"/>
          <w:szCs w:val="32"/>
          <w:highlight w:val="none"/>
        </w:rPr>
      </w:pPr>
      <w:r>
        <w:rPr>
          <w:rFonts w:hint="eastAsia" w:ascii="楷体_GB2312" w:hAnsi="楷体_GB2312" w:eastAsia="楷体_GB2312" w:cs="楷体_GB2312"/>
          <w:b w:val="0"/>
          <w:bCs w:val="0"/>
          <w:color w:val="auto"/>
          <w:kern w:val="0"/>
          <w:sz w:val="32"/>
          <w:szCs w:val="32"/>
          <w:highlight w:val="none"/>
        </w:rPr>
        <w:t>（三）储备条件。</w:t>
      </w:r>
      <w:r>
        <w:rPr>
          <w:rFonts w:hint="eastAsia" w:ascii="仿宋_GB2312" w:hAnsi="仿宋_GB2312" w:eastAsia="仿宋_GB2312" w:cs="仿宋_GB2312"/>
          <w:color w:val="auto"/>
          <w:sz w:val="32"/>
          <w:szCs w:val="32"/>
          <w:highlight w:val="none"/>
        </w:rPr>
        <w:t>项目已列入《“十四五”现代种业提升工程建设规划》。</w:t>
      </w:r>
      <w:r>
        <w:rPr>
          <w:rFonts w:hint="eastAsia" w:ascii="仿宋_GB2312" w:hAnsi="仿宋_GB2312" w:eastAsia="仿宋_GB2312" w:cs="仿宋_GB2312"/>
          <w:color w:val="000000"/>
          <w:sz w:val="32"/>
          <w:szCs w:val="32"/>
          <w:highlight w:val="none"/>
        </w:rPr>
        <w:t>重点支持鱼类、虾类、蟹类、贝类、藻类等新品种测试和测试数据应用。项目建设单位应具备申报品种相关的选育工作基础，配备足够的专业技术人员；项目原则上要求固定建筑物在自有土地上集中建设，生产实验用地需自有土地或租期20年以上的租用土地。部直属单位限报6个。</w:t>
      </w:r>
    </w:p>
    <w:p>
      <w:pPr>
        <w:pStyle w:val="12"/>
        <w:widowControl w:val="0"/>
        <w:adjustRightInd w:val="0"/>
        <w:snapToGrid w:val="0"/>
        <w:spacing w:before="0" w:beforeAutospacing="0" w:after="0" w:afterAutospacing="0" w:line="590" w:lineRule="exact"/>
        <w:ind w:firstLine="640" w:firstLineChars="200"/>
        <w:jc w:val="both"/>
        <w:rPr>
          <w:rFonts w:hint="eastAsia" w:ascii="仿宋_GB2312" w:hAnsi="仿宋_GB2312" w:eastAsia="仿宋_GB2312" w:cs="仿宋_GB2312"/>
          <w:color w:val="000000"/>
          <w:sz w:val="32"/>
          <w:szCs w:val="32"/>
          <w:highlight w:val="none"/>
        </w:rPr>
      </w:pPr>
      <w:r>
        <w:rPr>
          <w:rFonts w:hint="eastAsia" w:ascii="楷体_GB2312" w:hAnsi="楷体_GB2312" w:eastAsia="楷体_GB2312" w:cs="楷体_GB2312"/>
          <w:b w:val="0"/>
          <w:bCs w:val="0"/>
          <w:color w:val="auto"/>
          <w:kern w:val="0"/>
          <w:sz w:val="32"/>
          <w:szCs w:val="32"/>
          <w:highlight w:val="none"/>
        </w:rPr>
        <w:t>（四）中央投资规模。</w:t>
      </w:r>
      <w:r>
        <w:rPr>
          <w:rFonts w:hint="eastAsia" w:ascii="仿宋_GB2312" w:hAnsi="仿宋_GB2312" w:eastAsia="仿宋_GB2312" w:cs="仿宋_GB2312"/>
          <w:color w:val="000000"/>
          <w:sz w:val="32"/>
          <w:szCs w:val="32"/>
          <w:highlight w:val="none"/>
        </w:rPr>
        <w:t>地方项目</w:t>
      </w:r>
      <w:r>
        <w:rPr>
          <w:rFonts w:hint="eastAsia" w:ascii="仿宋_GB2312" w:hAnsi="仿宋_GB2312" w:eastAsia="仿宋_GB2312" w:cs="仿宋_GB2312"/>
          <w:color w:val="auto"/>
          <w:sz w:val="32"/>
          <w:szCs w:val="32"/>
          <w:highlight w:val="none"/>
        </w:rPr>
        <w:t>中央投资</w:t>
      </w:r>
      <w:r>
        <w:rPr>
          <w:rFonts w:hint="eastAsia" w:ascii="仿宋_GB2312" w:hAnsi="仿宋_GB2312" w:eastAsia="仿宋_GB2312" w:cs="仿宋_GB2312"/>
          <w:color w:val="auto"/>
          <w:sz w:val="32"/>
          <w:szCs w:val="32"/>
          <w:highlight w:val="none"/>
          <w:lang w:eastAsia="zh-CN"/>
        </w:rPr>
        <w:t>东部、</w:t>
      </w:r>
      <w:r>
        <w:rPr>
          <w:rFonts w:hint="eastAsia" w:ascii="仿宋_GB2312" w:hAnsi="仿宋_GB2312" w:eastAsia="仿宋_GB2312" w:cs="仿宋_GB2312"/>
          <w:color w:val="auto"/>
          <w:sz w:val="32"/>
          <w:szCs w:val="32"/>
          <w:highlight w:val="none"/>
        </w:rPr>
        <w:t>中部、西部、东北地区分别不超过项目总投资的60%、70%、80%、80%</w:t>
      </w:r>
      <w:r>
        <w:rPr>
          <w:rFonts w:hint="eastAsia" w:ascii="仿宋_GB2312" w:hAnsi="仿宋_GB2312" w:eastAsia="仿宋_GB2312" w:cs="仿宋_GB2312"/>
          <w:color w:val="000000"/>
          <w:sz w:val="32"/>
          <w:szCs w:val="32"/>
          <w:highlight w:val="none"/>
        </w:rPr>
        <w:t>，且中央投资最多不超过1000万元。部直属单位项目全部为中央投资。</w:t>
      </w:r>
    </w:p>
    <w:p>
      <w:pPr>
        <w:pStyle w:val="7"/>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lang w:eastAsia="zh-CN"/>
        </w:rPr>
        <w:t>四</w:t>
      </w:r>
      <w:r>
        <w:rPr>
          <w:rFonts w:hint="eastAsia" w:ascii="黑体" w:hAnsi="黑体" w:eastAsia="黑体" w:cs="黑体"/>
          <w:color w:val="auto"/>
          <w:kern w:val="0"/>
          <w:sz w:val="32"/>
          <w:szCs w:val="32"/>
          <w:highlight w:val="none"/>
        </w:rPr>
        <w:t>、联系方式</w:t>
      </w:r>
    </w:p>
    <w:p>
      <w:pPr>
        <w:pStyle w:val="7"/>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渔业发展处</w:t>
      </w:r>
    </w:p>
    <w:p>
      <w:pPr>
        <w:pStyle w:val="7"/>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联 系 人：</w:t>
      </w:r>
      <w:r>
        <w:rPr>
          <w:rFonts w:hint="eastAsia" w:ascii="仿宋_GB2312" w:hAnsi="仿宋_GB2312" w:cs="仿宋_GB2312"/>
          <w:color w:val="auto"/>
          <w:kern w:val="0"/>
          <w:sz w:val="32"/>
          <w:szCs w:val="32"/>
          <w:highlight w:val="none"/>
          <w:lang w:eastAsia="zh-CN"/>
        </w:rPr>
        <w:t>赵艳飞</w:t>
      </w:r>
    </w:p>
    <w:p>
      <w:pPr>
        <w:pStyle w:val="7"/>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联系电话：</w:t>
      </w:r>
      <w:r>
        <w:rPr>
          <w:rFonts w:hint="eastAsia" w:ascii="仿宋_GB2312" w:hAnsi="仿宋_GB2312" w:cs="仿宋_GB2312"/>
          <w:color w:val="auto"/>
          <w:kern w:val="0"/>
          <w:sz w:val="32"/>
          <w:szCs w:val="32"/>
          <w:highlight w:val="none"/>
          <w:lang w:val="en-US" w:eastAsia="zh-CN"/>
        </w:rPr>
        <w:t>020-37289517</w:t>
      </w:r>
    </w:p>
    <w:p>
      <w:pPr>
        <w:adjustRightInd w:val="0"/>
        <w:snapToGrid w:val="0"/>
        <w:spacing w:line="568" w:lineRule="exact"/>
        <w:ind w:firstLine="0" w:firstLineChars="0"/>
        <w:outlineLvl w:val="9"/>
        <w:rPr>
          <w:rFonts w:hint="eastAsia" w:ascii="黑体" w:hAnsi="黑体" w:eastAsia="黑体" w:cs="黑体"/>
          <w:color w:val="auto"/>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rPr>
        <w:br w:type="page"/>
      </w:r>
      <w:r>
        <w:rPr>
          <w:rFonts w:hint="eastAsia" w:ascii="黑体" w:hAnsi="黑体" w:eastAsia="黑体" w:cs="黑体"/>
          <w:color w:val="auto"/>
          <w:kern w:val="0"/>
          <w:sz w:val="32"/>
          <w:szCs w:val="32"/>
          <w:highlight w:val="none"/>
        </w:rPr>
        <w:t>附件</w:t>
      </w:r>
      <w:r>
        <w:rPr>
          <w:rFonts w:hint="eastAsia" w:ascii="黑体" w:hAnsi="黑体" w:eastAsia="黑体" w:cs="黑体"/>
          <w:color w:val="auto"/>
          <w:kern w:val="0"/>
          <w:sz w:val="32"/>
          <w:szCs w:val="32"/>
          <w:highlight w:val="none"/>
          <w:lang w:val="en-US" w:eastAsia="zh-CN"/>
        </w:rPr>
        <w:t>1-3</w:t>
      </w:r>
    </w:p>
    <w:p>
      <w:pPr>
        <w:widowControl w:val="0"/>
        <w:adjustRightInd w:val="0"/>
        <w:snapToGrid w:val="0"/>
        <w:spacing w:line="568" w:lineRule="exact"/>
        <w:ind w:firstLine="640" w:firstLineChars="200"/>
        <w:jc w:val="both"/>
        <w:rPr>
          <w:rFonts w:hint="eastAsia" w:ascii="仿宋_GB2312" w:hAnsi="仿宋_GB2312" w:eastAsia="仿宋_GB2312" w:cs="仿宋_GB2312"/>
          <w:color w:val="auto"/>
          <w:kern w:val="0"/>
          <w:sz w:val="32"/>
          <w:szCs w:val="32"/>
          <w:highlight w:val="none"/>
        </w:rPr>
      </w:pPr>
    </w:p>
    <w:p>
      <w:pPr>
        <w:adjustRightInd w:val="0"/>
        <w:snapToGrid w:val="0"/>
        <w:spacing w:line="568" w:lineRule="exact"/>
        <w:ind w:firstLine="0" w:firstLineChars="0"/>
        <w:jc w:val="center"/>
        <w:outlineLvl w:val="9"/>
        <w:rPr>
          <w:rFonts w:hint="eastAsia" w:ascii="方正小标宋简体" w:hAnsi="方正小标宋简体" w:eastAsia="方正小标宋简体" w:cs="方正小标宋简体"/>
          <w:b w:val="0"/>
          <w:bCs w:val="0"/>
          <w:color w:val="auto"/>
          <w:kern w:val="0"/>
          <w:sz w:val="44"/>
          <w:szCs w:val="44"/>
          <w:highlight w:val="none"/>
        </w:rPr>
      </w:pPr>
      <w:r>
        <w:rPr>
          <w:rFonts w:hint="eastAsia" w:ascii="方正小标宋简体" w:hAnsi="方正小标宋简体" w:eastAsia="方正小标宋简体" w:cs="方正小标宋简体"/>
          <w:b w:val="0"/>
          <w:bCs w:val="0"/>
          <w:color w:val="auto"/>
          <w:kern w:val="0"/>
          <w:sz w:val="44"/>
          <w:szCs w:val="44"/>
          <w:highlight w:val="none"/>
        </w:rPr>
        <w:t>动植物保护能力提升工程项目储备指南</w:t>
      </w:r>
    </w:p>
    <w:p>
      <w:pPr>
        <w:adjustRightInd w:val="0"/>
        <w:snapToGrid w:val="0"/>
        <w:spacing w:line="568" w:lineRule="exact"/>
        <w:ind w:firstLine="640" w:firstLineChars="200"/>
        <w:jc w:val="both"/>
        <w:rPr>
          <w:rFonts w:hint="eastAsia" w:ascii="仿宋_GB2312" w:hAnsi="仿宋_GB2312" w:eastAsia="仿宋_GB2312" w:cs="仿宋_GB2312"/>
          <w:color w:val="auto"/>
          <w:kern w:val="0"/>
          <w:sz w:val="32"/>
          <w:szCs w:val="32"/>
          <w:highlight w:val="none"/>
        </w:rPr>
      </w:pPr>
    </w:p>
    <w:p>
      <w:pPr>
        <w:adjustRightInd w:val="0"/>
        <w:snapToGrid w:val="0"/>
        <w:spacing w:line="568"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按照《全国动植物保护能力提升工程建设规划（2017－2025年）》总体布局，重点支持动物防疫所需的各类实验室建设、实验仪器设施设备购置，植物保护所需的信息采集传输和监测预警、相关实验和质量检验仪器设备购置等，着力提升动植物疫病虫害监测预警、预防控制等能力。</w:t>
      </w:r>
    </w:p>
    <w:p>
      <w:pPr>
        <w:adjustRightInd w:val="0"/>
        <w:snapToGrid w:val="0"/>
        <w:spacing w:line="568"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一、陆生动物保护能力提升工程</w:t>
      </w:r>
    </w:p>
    <w:p>
      <w:pPr>
        <w:adjustRightInd w:val="0"/>
        <w:snapToGrid w:val="0"/>
        <w:spacing w:line="568"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（一）动物疫病国家参考实验室项目</w:t>
      </w:r>
    </w:p>
    <w:p>
      <w:pPr>
        <w:adjustRightInd w:val="0"/>
        <w:snapToGrid w:val="0"/>
        <w:spacing w:line="568"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完善有关实验室动物疫病最终诊断、防治技术研究、标准品制备、疫苗毒株推荐、防控政策咨询、防控效果评估、防控技术指导、对外交流合作等工作等任务所需实验条件，进一步提升我国动物疫病防控技术支撑能力和水平。</w:t>
      </w:r>
    </w:p>
    <w:p>
      <w:pPr>
        <w:adjustRightInd w:val="0"/>
        <w:snapToGrid w:val="0"/>
        <w:spacing w:line="568"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改扩建实验室，购置实验设施设备，包括病原学、血清学检测仪器，定量、定性分析仪器，样品保存和处理仪器，分子生物学分析仪器等。</w:t>
      </w:r>
    </w:p>
    <w:p>
      <w:pPr>
        <w:adjustRightInd w:val="0"/>
        <w:snapToGrid w:val="0"/>
        <w:spacing w:line="568" w:lineRule="exact"/>
        <w:ind w:firstLine="643" w:firstLineChars="200"/>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b/>
          <w:color w:val="auto"/>
          <w:kern w:val="0"/>
          <w:sz w:val="32"/>
          <w:szCs w:val="32"/>
          <w:highlight w:val="none"/>
        </w:rPr>
        <w:t>3.储备条件。</w:t>
      </w:r>
      <w:r>
        <w:rPr>
          <w:rFonts w:hint="eastAsia" w:ascii="仿宋_GB2312" w:hAnsi="仿宋_GB2312" w:cs="仿宋_GB2312"/>
          <w:b/>
          <w:color w:val="auto"/>
          <w:kern w:val="0"/>
          <w:sz w:val="32"/>
          <w:szCs w:val="32"/>
          <w:highlight w:val="none"/>
          <w:lang w:val="en-US" w:eastAsia="zh-CN"/>
        </w:rPr>
        <w:t>建设</w:t>
      </w:r>
      <w:r>
        <w:rPr>
          <w:rFonts w:hint="eastAsia" w:ascii="仿宋_GB2312" w:hAnsi="仿宋_GB2312" w:eastAsia="仿宋_GB2312" w:cs="仿宋_GB2312"/>
          <w:color w:val="auto"/>
          <w:kern w:val="0"/>
          <w:sz w:val="32"/>
          <w:szCs w:val="32"/>
          <w:highlight w:val="none"/>
        </w:rPr>
        <w:t>国家动物狂犬病参考实验室，以及待指定的猪伪狂犬病、沙门氏菌病、禽白血病国家参考实验室，申报单位应是已经农业农村部指定为特定动物疫病国家参考实验室的单位。</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每个参考实验室改扩建项目中央投资不超过1500万元。</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（二）陆生动物疫病病原学监测区域中心</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在畜禽养殖相对比较密集、动物疫病流行状况复杂、防控任务重的地区，依托地市（师）级动物疫病预防控制机构，更新改造升级病原学监测实验室，进一步提升病原学监测能力，重点承担非洲猪瘟、禽流感、口蹄疫、布病、包虫病、血吸虫病等优先防治病种的病原学监测、流行病学调查和信息直报任务，及时准确掌握相关病种的流行态势和病原分布状况，提升监测调查和预警分析能力，为控制和消灭重点疫病提供有力的技术支撑。</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按照填平补齐原则，更新改造兽医实验室，使之达到生物安全二级实验室（BSL-2）的水平，配备PCR仪、生物安全柜、高压灭菌器、电泳仪、温箱、超低温冰箱、离心机、酶标仪、移液器、振荡器等监测诊断设施设备。</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在充分考虑实验室人员、技术和经费保障条件的基础上，优先考虑畜禽养殖量较大、疫病防控任务重的地市，依托各监测中心所在地市（师）级兽医实验室，重点在</w:t>
      </w:r>
      <w:r>
        <w:rPr>
          <w:rFonts w:hint="eastAsia" w:ascii="仿宋_GB2312" w:hAnsi="仿宋_GB2312" w:cs="仿宋_GB2312"/>
          <w:color w:val="auto"/>
          <w:kern w:val="0"/>
          <w:sz w:val="32"/>
          <w:szCs w:val="32"/>
          <w:highlight w:val="none"/>
          <w:lang w:val="en-US" w:eastAsia="zh-CN"/>
        </w:rPr>
        <w:t>9</w:t>
      </w:r>
      <w:r>
        <w:rPr>
          <w:rFonts w:hint="eastAsia" w:ascii="仿宋_GB2312" w:hAnsi="仿宋_GB2312" w:eastAsia="仿宋_GB2312" w:cs="仿宋_GB2312"/>
          <w:color w:val="auto"/>
          <w:kern w:val="0"/>
          <w:sz w:val="32"/>
          <w:szCs w:val="32"/>
          <w:highlight w:val="none"/>
        </w:rPr>
        <w:t>个省份改建</w:t>
      </w:r>
      <w:r>
        <w:rPr>
          <w:rFonts w:hint="eastAsia" w:ascii="仿宋_GB2312" w:hAnsi="仿宋_GB2312" w:cs="仿宋_GB2312"/>
          <w:color w:val="auto"/>
          <w:kern w:val="0"/>
          <w:sz w:val="32"/>
          <w:szCs w:val="32"/>
          <w:highlight w:val="none"/>
          <w:lang w:val="en-US" w:eastAsia="zh-CN"/>
        </w:rPr>
        <w:t>18</w:t>
      </w:r>
      <w:r>
        <w:rPr>
          <w:rFonts w:hint="eastAsia" w:ascii="仿宋_GB2312" w:hAnsi="仿宋_GB2312" w:eastAsia="仿宋_GB2312" w:cs="仿宋_GB2312"/>
          <w:color w:val="auto"/>
          <w:kern w:val="0"/>
          <w:sz w:val="32"/>
          <w:szCs w:val="32"/>
          <w:highlight w:val="none"/>
        </w:rPr>
        <w:t>个区域中心，对实验室进行全面升级更新改造。具体分布为：辽宁</w:t>
      </w:r>
      <w:r>
        <w:rPr>
          <w:rFonts w:hint="eastAsia" w:ascii="仿宋_GB2312" w:hAnsi="仿宋_GB2312" w:cs="仿宋_GB2312"/>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rPr>
        <w:t>个、黑龙江</w:t>
      </w:r>
      <w:r>
        <w:rPr>
          <w:rFonts w:hint="eastAsia" w:ascii="仿宋_GB2312" w:hAnsi="仿宋_GB2312" w:cs="仿宋_GB2312"/>
          <w:color w:val="auto"/>
          <w:kern w:val="0"/>
          <w:sz w:val="32"/>
          <w:szCs w:val="32"/>
          <w:highlight w:val="none"/>
          <w:lang w:val="en-US" w:eastAsia="zh-CN"/>
        </w:rPr>
        <w:t>2</w:t>
      </w:r>
      <w:r>
        <w:rPr>
          <w:rFonts w:hint="eastAsia" w:ascii="仿宋_GB2312" w:hAnsi="仿宋_GB2312" w:eastAsia="仿宋_GB2312" w:cs="仿宋_GB2312"/>
          <w:color w:val="auto"/>
          <w:kern w:val="0"/>
          <w:sz w:val="32"/>
          <w:szCs w:val="32"/>
          <w:highlight w:val="none"/>
        </w:rPr>
        <w:t>个、</w:t>
      </w:r>
      <w:r>
        <w:rPr>
          <w:rFonts w:hint="eastAsia" w:ascii="仿宋_GB2312" w:hAnsi="仿宋_GB2312" w:cs="仿宋_GB2312"/>
          <w:color w:val="auto"/>
          <w:kern w:val="0"/>
          <w:sz w:val="32"/>
          <w:szCs w:val="32"/>
          <w:highlight w:val="none"/>
          <w:lang w:val="en-US" w:eastAsia="zh-CN"/>
        </w:rPr>
        <w:t>浙江2个、</w:t>
      </w:r>
      <w:r>
        <w:rPr>
          <w:rFonts w:hint="eastAsia" w:ascii="仿宋_GB2312" w:hAnsi="仿宋_GB2312" w:eastAsia="仿宋_GB2312" w:cs="仿宋_GB2312"/>
          <w:color w:val="auto"/>
          <w:kern w:val="0"/>
          <w:sz w:val="32"/>
          <w:szCs w:val="32"/>
          <w:highlight w:val="none"/>
        </w:rPr>
        <w:t>安徽</w:t>
      </w:r>
      <w:r>
        <w:rPr>
          <w:rFonts w:hint="eastAsia" w:ascii="仿宋_GB2312" w:hAnsi="仿宋_GB2312" w:eastAsia="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rPr>
        <w:t>个、山东</w:t>
      </w:r>
      <w:r>
        <w:rPr>
          <w:rFonts w:hint="eastAsia" w:ascii="仿宋_GB2312" w:hAnsi="仿宋_GB2312" w:cs="仿宋_GB2312"/>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rPr>
        <w:t>个、广东</w:t>
      </w:r>
      <w:r>
        <w:rPr>
          <w:rFonts w:hint="eastAsia" w:ascii="仿宋_GB2312" w:hAnsi="仿宋_GB2312" w:cs="仿宋_GB2312"/>
          <w:color w:val="auto"/>
          <w:kern w:val="0"/>
          <w:sz w:val="32"/>
          <w:szCs w:val="32"/>
          <w:highlight w:val="none"/>
          <w:lang w:val="en-US" w:eastAsia="zh-CN"/>
        </w:rPr>
        <w:t>3</w:t>
      </w:r>
      <w:r>
        <w:rPr>
          <w:rFonts w:hint="eastAsia" w:ascii="仿宋_GB2312" w:hAnsi="仿宋_GB2312" w:eastAsia="仿宋_GB2312" w:cs="仿宋_GB2312"/>
          <w:color w:val="auto"/>
          <w:kern w:val="0"/>
          <w:sz w:val="32"/>
          <w:szCs w:val="32"/>
          <w:highlight w:val="none"/>
        </w:rPr>
        <w:t>个、四川</w:t>
      </w:r>
      <w:r>
        <w:rPr>
          <w:rFonts w:hint="eastAsia" w:ascii="仿宋_GB2312" w:hAnsi="仿宋_GB2312" w:eastAsia="仿宋_GB2312" w:cs="仿宋_GB2312"/>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rPr>
        <w:t>个、西藏</w:t>
      </w:r>
      <w:r>
        <w:rPr>
          <w:rFonts w:hint="eastAsia" w:ascii="仿宋_GB2312" w:hAnsi="仿宋_GB2312" w:cs="仿宋_GB2312"/>
          <w:color w:val="auto"/>
          <w:kern w:val="0"/>
          <w:sz w:val="32"/>
          <w:szCs w:val="32"/>
          <w:highlight w:val="none"/>
          <w:lang w:val="en-US" w:eastAsia="zh-CN"/>
        </w:rPr>
        <w:t>2</w:t>
      </w:r>
      <w:r>
        <w:rPr>
          <w:rFonts w:hint="eastAsia" w:ascii="仿宋_GB2312" w:hAnsi="仿宋_GB2312" w:eastAsia="仿宋_GB2312" w:cs="仿宋_GB2312"/>
          <w:color w:val="auto"/>
          <w:kern w:val="0"/>
          <w:sz w:val="32"/>
          <w:szCs w:val="32"/>
          <w:highlight w:val="none"/>
        </w:rPr>
        <w:t>个、新疆</w:t>
      </w:r>
      <w:r>
        <w:rPr>
          <w:rFonts w:hint="eastAsia" w:ascii="仿宋_GB2312" w:hAnsi="仿宋_GB2312" w:cs="仿宋_GB2312"/>
          <w:color w:val="auto"/>
          <w:kern w:val="0"/>
          <w:sz w:val="32"/>
          <w:szCs w:val="32"/>
          <w:highlight w:val="none"/>
          <w:lang w:val="en-US" w:eastAsia="zh-CN"/>
        </w:rPr>
        <w:t>2</w:t>
      </w:r>
      <w:r>
        <w:rPr>
          <w:rFonts w:hint="eastAsia" w:ascii="仿宋_GB2312" w:hAnsi="仿宋_GB2312" w:eastAsia="仿宋_GB2312" w:cs="仿宋_GB2312"/>
          <w:color w:val="auto"/>
          <w:kern w:val="0"/>
          <w:sz w:val="32"/>
          <w:szCs w:val="32"/>
          <w:highlight w:val="none"/>
        </w:rPr>
        <w:t>个。</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68"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西部地区、东北地区、中部地区、东部地区每个中心中央投资规模分别控制在225</w:t>
      </w:r>
      <w:r>
        <w:rPr>
          <w:rFonts w:hint="eastAsia" w:ascii="仿宋_GB2312" w:hAnsi="仿宋_GB2312" w:eastAsia="仿宋_GB2312" w:cs="仿宋_GB2312"/>
          <w:color w:val="auto"/>
          <w:kern w:val="0"/>
          <w:sz w:val="32"/>
          <w:szCs w:val="32"/>
          <w:highlight w:val="none"/>
          <w:lang w:eastAsia="zh-CN"/>
        </w:rPr>
        <w:t>万元</w:t>
      </w:r>
      <w:r>
        <w:rPr>
          <w:rFonts w:hint="eastAsia" w:ascii="仿宋_GB2312" w:hAnsi="仿宋_GB2312" w:eastAsia="仿宋_GB2312" w:cs="仿宋_GB2312"/>
          <w:color w:val="auto"/>
          <w:kern w:val="0"/>
          <w:sz w:val="32"/>
          <w:szCs w:val="32"/>
          <w:highlight w:val="none"/>
        </w:rPr>
        <w:t>、225</w:t>
      </w:r>
      <w:r>
        <w:rPr>
          <w:rFonts w:hint="eastAsia" w:ascii="仿宋_GB2312" w:hAnsi="仿宋_GB2312" w:eastAsia="仿宋_GB2312" w:cs="仿宋_GB2312"/>
          <w:color w:val="auto"/>
          <w:kern w:val="0"/>
          <w:sz w:val="32"/>
          <w:szCs w:val="32"/>
          <w:highlight w:val="none"/>
          <w:lang w:eastAsia="zh-CN"/>
        </w:rPr>
        <w:t>万元</w:t>
      </w:r>
      <w:r>
        <w:rPr>
          <w:rFonts w:hint="eastAsia" w:ascii="仿宋_GB2312" w:hAnsi="仿宋_GB2312" w:eastAsia="仿宋_GB2312" w:cs="仿宋_GB2312"/>
          <w:color w:val="auto"/>
          <w:kern w:val="0"/>
          <w:sz w:val="32"/>
          <w:szCs w:val="32"/>
          <w:highlight w:val="none"/>
        </w:rPr>
        <w:t>、200</w:t>
      </w:r>
      <w:r>
        <w:rPr>
          <w:rFonts w:hint="eastAsia" w:ascii="仿宋_GB2312" w:hAnsi="仿宋_GB2312" w:eastAsia="仿宋_GB2312" w:cs="仿宋_GB2312"/>
          <w:color w:val="auto"/>
          <w:kern w:val="0"/>
          <w:sz w:val="32"/>
          <w:szCs w:val="32"/>
          <w:highlight w:val="none"/>
          <w:lang w:eastAsia="zh-CN"/>
        </w:rPr>
        <w:t>万元</w:t>
      </w:r>
      <w:r>
        <w:rPr>
          <w:rFonts w:hint="eastAsia" w:ascii="仿宋_GB2312" w:hAnsi="仿宋_GB2312" w:eastAsia="仿宋_GB2312" w:cs="仿宋_GB2312"/>
          <w:color w:val="auto"/>
          <w:kern w:val="0"/>
          <w:sz w:val="32"/>
          <w:szCs w:val="32"/>
          <w:highlight w:val="none"/>
        </w:rPr>
        <w:t>、150万元以内，中央投资比例分别不超过90%、90%、80%、60%。西藏全部为中央投资。</w:t>
      </w:r>
    </w:p>
    <w:p>
      <w:pPr>
        <w:adjustRightInd w:val="0"/>
        <w:snapToGrid w:val="0"/>
        <w:spacing w:line="568"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w:t>
      </w:r>
      <w:r>
        <w:rPr>
          <w:rFonts w:hint="eastAsia" w:ascii="楷体_GB2312" w:hAnsi="楷体_GB2312" w:eastAsia="楷体_GB2312" w:cs="楷体_GB2312"/>
          <w:b w:val="0"/>
          <w:bCs w:val="0"/>
          <w:color w:val="auto"/>
          <w:kern w:val="0"/>
          <w:sz w:val="32"/>
          <w:szCs w:val="32"/>
          <w:highlight w:val="none"/>
          <w:lang w:eastAsia="zh-CN"/>
        </w:rPr>
        <w:t>三</w:t>
      </w:r>
      <w:r>
        <w:rPr>
          <w:rFonts w:hint="eastAsia" w:ascii="楷体_GB2312" w:hAnsi="楷体_GB2312" w:eastAsia="楷体_GB2312" w:cs="楷体_GB2312"/>
          <w:b w:val="0"/>
          <w:bCs w:val="0"/>
          <w:color w:val="auto"/>
          <w:kern w:val="0"/>
          <w:sz w:val="32"/>
          <w:szCs w:val="32"/>
          <w:highlight w:val="none"/>
        </w:rPr>
        <w:t>）边境动物疫情监测站</w:t>
      </w:r>
    </w:p>
    <w:p>
      <w:pPr>
        <w:adjustRightInd w:val="0"/>
        <w:snapToGrid w:val="0"/>
        <w:spacing w:line="568"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为加强边境动物及陆生野生动物的疫病监测预警和风险防范能力,根据外来病风险防范需要,在外来病传入高风险区的内陆边境县和团场建设边境动物疫情监测站,承担国家下达的边境地区非洲猪瘟、禽流感、口蹄疫、布病等优先防治病种以及重点防范外来病的监测、流行病学调查、巡查监视和信息直报任务。</w:t>
      </w:r>
    </w:p>
    <w:p>
      <w:pPr>
        <w:adjustRightInd w:val="0"/>
        <w:snapToGrid w:val="0"/>
        <w:spacing w:line="568"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新建或更新改造兽医实验室生物安全设施，更新配备动物疫病监测诊断设施设备。依托各县级现有兽医实验室，购置PCR仪、生物安全柜、电泳仪、温箱、冰箱、离心机、酶标仪、移液器、振荡器、高压灭菌器等实验设备。</w:t>
      </w:r>
    </w:p>
    <w:p>
      <w:pPr>
        <w:adjustRightInd w:val="0"/>
        <w:snapToGrid w:val="0"/>
        <w:spacing w:line="568"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新建或改建各省和新疆生产建设兵团的61个边境动物疫情监测站(辽宁1个、吉林6个、黑龙江5个、云南10个、西藏20个、新疆13个、北大荒农垦集团有限公司4个、兵团2个)。项目已列入《全国动植物保护能力提升工程建设规划(2017—2025年)》。</w:t>
      </w:r>
    </w:p>
    <w:p>
      <w:pPr>
        <w:adjustRightInd w:val="0"/>
        <w:snapToGrid w:val="0"/>
        <w:spacing w:line="568"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新建监测站</w:t>
      </w:r>
      <w:r>
        <w:rPr>
          <w:rFonts w:hint="eastAsia" w:ascii="仿宋_GB2312" w:hAnsi="仿宋_GB2312" w:eastAsia="仿宋_GB2312" w:cs="仿宋_GB2312"/>
          <w:color w:val="auto"/>
          <w:kern w:val="0"/>
          <w:sz w:val="32"/>
          <w:szCs w:val="32"/>
          <w:highlight w:val="none"/>
          <w:lang w:eastAsia="zh-CN"/>
        </w:rPr>
        <w:t>中央投资规模控制在</w:t>
      </w:r>
      <w:r>
        <w:rPr>
          <w:rFonts w:hint="eastAsia" w:ascii="仿宋_GB2312" w:hAnsi="仿宋_GB2312" w:eastAsia="仿宋_GB2312" w:cs="仿宋_GB2312"/>
          <w:color w:val="auto"/>
          <w:kern w:val="0"/>
          <w:sz w:val="32"/>
          <w:szCs w:val="32"/>
          <w:highlight w:val="none"/>
          <w:lang w:val="en-US" w:eastAsia="zh-CN"/>
        </w:rPr>
        <w:t>9</w:t>
      </w:r>
      <w:r>
        <w:rPr>
          <w:rFonts w:hint="eastAsia" w:ascii="仿宋_GB2312" w:hAnsi="仿宋_GB2312" w:eastAsia="仿宋_GB2312" w:cs="仿宋_GB2312"/>
          <w:color w:val="auto"/>
          <w:kern w:val="0"/>
          <w:sz w:val="32"/>
          <w:szCs w:val="32"/>
          <w:highlight w:val="none"/>
        </w:rPr>
        <w:t>0万元</w:t>
      </w:r>
      <w:r>
        <w:rPr>
          <w:rFonts w:hint="eastAsia" w:ascii="仿宋_GB2312" w:hAnsi="仿宋_GB2312" w:eastAsia="仿宋_GB2312" w:cs="仿宋_GB2312"/>
          <w:color w:val="auto"/>
          <w:kern w:val="0"/>
          <w:sz w:val="32"/>
          <w:szCs w:val="32"/>
          <w:highlight w:val="none"/>
          <w:lang w:eastAsia="zh-CN"/>
        </w:rPr>
        <w:t>以内，改扩建监测站中央投资规模控制在</w:t>
      </w:r>
      <w:r>
        <w:rPr>
          <w:rFonts w:hint="eastAsia" w:ascii="仿宋_GB2312" w:hAnsi="仿宋_GB2312" w:eastAsia="仿宋_GB2312" w:cs="仿宋_GB2312"/>
          <w:color w:val="auto"/>
          <w:kern w:val="0"/>
          <w:sz w:val="32"/>
          <w:szCs w:val="32"/>
          <w:highlight w:val="none"/>
          <w:lang w:val="en-US" w:eastAsia="zh-CN"/>
        </w:rPr>
        <w:t>45万元以内</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中央投资比例</w:t>
      </w:r>
      <w:r>
        <w:rPr>
          <w:rFonts w:hint="eastAsia" w:ascii="仿宋_GB2312" w:hAnsi="仿宋_GB2312" w:eastAsia="仿宋_GB2312" w:cs="仿宋_GB2312"/>
          <w:color w:val="auto"/>
          <w:kern w:val="0"/>
          <w:sz w:val="32"/>
          <w:szCs w:val="32"/>
          <w:highlight w:val="none"/>
          <w:lang w:eastAsia="zh-CN"/>
        </w:rPr>
        <w:t>不超过</w:t>
      </w:r>
      <w:r>
        <w:rPr>
          <w:rFonts w:hint="eastAsia" w:ascii="仿宋_GB2312" w:hAnsi="仿宋_GB2312" w:eastAsia="仿宋_GB2312" w:cs="仿宋_GB2312"/>
          <w:color w:val="auto"/>
          <w:kern w:val="0"/>
          <w:sz w:val="32"/>
          <w:szCs w:val="32"/>
          <w:highlight w:val="none"/>
        </w:rPr>
        <w:t>90%。西藏全部为中央投资。</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w:t>
      </w:r>
      <w:r>
        <w:rPr>
          <w:rFonts w:hint="eastAsia" w:ascii="楷体_GB2312" w:hAnsi="楷体_GB2312" w:eastAsia="楷体_GB2312" w:cs="楷体_GB2312"/>
          <w:b w:val="0"/>
          <w:bCs w:val="0"/>
          <w:color w:val="auto"/>
          <w:kern w:val="0"/>
          <w:sz w:val="32"/>
          <w:szCs w:val="32"/>
          <w:highlight w:val="none"/>
          <w:lang w:eastAsia="zh-CN"/>
        </w:rPr>
        <w:t>四</w:t>
      </w:r>
      <w:r>
        <w:rPr>
          <w:rFonts w:hint="eastAsia" w:ascii="楷体_GB2312" w:hAnsi="楷体_GB2312" w:eastAsia="楷体_GB2312" w:cs="楷体_GB2312"/>
          <w:b w:val="0"/>
          <w:bCs w:val="0"/>
          <w:color w:val="auto"/>
          <w:kern w:val="0"/>
          <w:sz w:val="32"/>
          <w:szCs w:val="32"/>
          <w:highlight w:val="none"/>
        </w:rPr>
        <w:t>）牧区动物防疫专用设施</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根据《全国动植物保护能力提升工程建设规划》要求，在牧区县和半牧区县建设牧区动物防疫专用设施，有效解决牧区防疫工作中由于放牧大动物数量多导致的家畜不易保定、免疫监测工作难开展等问题，提高工作效率，降低工作强度，确保免疫、监测、驱虫、诊断、治疗等防控工作有效开展，提高防疫工作质量和效果。</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包括建设固定式防疫注射栏（在藏区牧区县），或购置移动式防疫注射栏（在非藏区牧区县）、机动式消毒喷雾器、连续注射器、冷藏箱、双排货车（以乡为单位，与移动式注射栏配套）、药浴池（仅在新疆建设）。藏区牧区县每个行政村配4套、非藏区牧区县每3个防疫员配1套，半牧区县减半。</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在2017</w:t>
      </w:r>
      <w:r>
        <w:rPr>
          <w:rFonts w:hint="eastAsia" w:ascii="仿宋_GB2312" w:hAnsi="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202</w:t>
      </w:r>
      <w:r>
        <w:rPr>
          <w:rFonts w:hint="eastAsia" w:ascii="仿宋_GB2312" w:hAnsi="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rPr>
        <w:t>年建设的基础上，继续在全国牧区半牧区县、牧区半牧区团场，新建</w:t>
      </w:r>
      <w:r>
        <w:rPr>
          <w:rFonts w:hint="eastAsia" w:ascii="仿宋_GB2312" w:hAnsi="仿宋_GB2312" w:cs="仿宋_GB2312"/>
          <w:color w:val="auto"/>
          <w:kern w:val="0"/>
          <w:sz w:val="32"/>
          <w:szCs w:val="32"/>
          <w:highlight w:val="none"/>
          <w:lang w:val="en-US" w:eastAsia="zh-CN"/>
        </w:rPr>
        <w:t>5804</w:t>
      </w:r>
      <w:r>
        <w:rPr>
          <w:rFonts w:hint="eastAsia" w:ascii="仿宋_GB2312" w:hAnsi="仿宋_GB2312" w:eastAsia="仿宋_GB2312" w:cs="仿宋_GB2312"/>
          <w:color w:val="auto"/>
          <w:kern w:val="0"/>
          <w:sz w:val="32"/>
          <w:szCs w:val="32"/>
          <w:highlight w:val="none"/>
        </w:rPr>
        <w:t>套动物防疫专用设施。在牧区县中，藏区（西藏等牦牛主产区）采用固定式防疫注射栏，每个行政村配备4套（冬春牧场2套、夏秋牧场2套）；非藏区（新疆、内蒙古、新疆生产建设兵团等）采用移动式防疫注射栏，每3个防疫员1套。使用移动围栏设备的每个乡镇配备一辆双排货车。半牧区县配置数量减半。兵团牧区团场，每个团场配备8套；兵团半牧区团场，每个团场配备4套。具体分配为：河北</w:t>
      </w:r>
      <w:r>
        <w:rPr>
          <w:rFonts w:hint="eastAsia" w:ascii="仿宋_GB2312" w:hAnsi="仿宋_GB2312" w:eastAsia="仿宋_GB2312" w:cs="仿宋_GB2312"/>
          <w:color w:val="auto"/>
          <w:kern w:val="0"/>
          <w:sz w:val="32"/>
          <w:szCs w:val="32"/>
          <w:highlight w:val="none"/>
          <w:lang w:val="en-US" w:eastAsia="zh-CN"/>
        </w:rPr>
        <w:t>223</w:t>
      </w:r>
      <w:r>
        <w:rPr>
          <w:rFonts w:hint="eastAsia" w:ascii="仿宋_GB2312" w:hAnsi="仿宋_GB2312" w:eastAsia="仿宋_GB2312" w:cs="仿宋_GB2312"/>
          <w:color w:val="auto"/>
          <w:kern w:val="0"/>
          <w:sz w:val="32"/>
          <w:szCs w:val="32"/>
          <w:highlight w:val="none"/>
        </w:rPr>
        <w:t>套、内蒙古53套、四川</w:t>
      </w:r>
      <w:r>
        <w:rPr>
          <w:rFonts w:hint="eastAsia" w:ascii="仿宋_GB2312" w:hAnsi="仿宋_GB2312" w:cs="仿宋_GB2312"/>
          <w:color w:val="auto"/>
          <w:kern w:val="0"/>
          <w:sz w:val="32"/>
          <w:szCs w:val="32"/>
          <w:highlight w:val="none"/>
          <w:lang w:val="en-US" w:eastAsia="zh-CN"/>
        </w:rPr>
        <w:t>656</w:t>
      </w:r>
      <w:r>
        <w:rPr>
          <w:rFonts w:hint="eastAsia" w:ascii="仿宋_GB2312" w:hAnsi="仿宋_GB2312" w:eastAsia="仿宋_GB2312" w:cs="仿宋_GB2312"/>
          <w:color w:val="auto"/>
          <w:kern w:val="0"/>
          <w:sz w:val="32"/>
          <w:szCs w:val="32"/>
          <w:highlight w:val="none"/>
        </w:rPr>
        <w:t>套、</w:t>
      </w:r>
      <w:r>
        <w:rPr>
          <w:rFonts w:hint="eastAsia" w:ascii="仿宋_GB2312" w:hAnsi="仿宋_GB2312" w:cs="仿宋_GB2312"/>
          <w:color w:val="auto"/>
          <w:kern w:val="0"/>
          <w:sz w:val="32"/>
          <w:szCs w:val="32"/>
          <w:highlight w:val="none"/>
          <w:lang w:eastAsia="zh-CN"/>
        </w:rPr>
        <w:t>青海</w:t>
      </w:r>
      <w:r>
        <w:rPr>
          <w:rFonts w:hint="eastAsia" w:ascii="仿宋_GB2312" w:hAnsi="仿宋_GB2312" w:cs="仿宋_GB2312"/>
          <w:color w:val="auto"/>
          <w:kern w:val="0"/>
          <w:sz w:val="32"/>
          <w:szCs w:val="32"/>
          <w:highlight w:val="none"/>
          <w:lang w:val="en-US" w:eastAsia="zh-CN"/>
        </w:rPr>
        <w:t>1000套、</w:t>
      </w:r>
      <w:r>
        <w:rPr>
          <w:rFonts w:hint="eastAsia" w:ascii="仿宋_GB2312" w:hAnsi="仿宋_GB2312" w:eastAsia="仿宋_GB2312" w:cs="仿宋_GB2312"/>
          <w:color w:val="auto"/>
          <w:kern w:val="0"/>
          <w:sz w:val="32"/>
          <w:szCs w:val="32"/>
          <w:highlight w:val="none"/>
        </w:rPr>
        <w:t>西藏</w:t>
      </w:r>
      <w:r>
        <w:rPr>
          <w:rFonts w:hint="eastAsia" w:ascii="仿宋_GB2312" w:hAnsi="仿宋_GB2312" w:eastAsia="仿宋_GB2312" w:cs="仿宋_GB2312"/>
          <w:color w:val="auto"/>
          <w:kern w:val="0"/>
          <w:sz w:val="32"/>
          <w:szCs w:val="32"/>
          <w:highlight w:val="none"/>
          <w:lang w:val="en-US" w:eastAsia="zh-CN"/>
        </w:rPr>
        <w:t>33</w:t>
      </w:r>
      <w:r>
        <w:rPr>
          <w:rFonts w:hint="eastAsia" w:ascii="仿宋_GB2312" w:hAnsi="仿宋_GB2312" w:cs="仿宋_GB2312"/>
          <w:color w:val="auto"/>
          <w:kern w:val="0"/>
          <w:sz w:val="32"/>
          <w:szCs w:val="32"/>
          <w:highlight w:val="none"/>
          <w:lang w:val="en-US" w:eastAsia="zh-CN"/>
        </w:rPr>
        <w:t>90</w:t>
      </w:r>
      <w:r>
        <w:rPr>
          <w:rFonts w:hint="eastAsia" w:ascii="仿宋_GB2312" w:hAnsi="仿宋_GB2312" w:eastAsia="仿宋_GB2312" w:cs="仿宋_GB2312"/>
          <w:color w:val="auto"/>
          <w:kern w:val="0"/>
          <w:sz w:val="32"/>
          <w:szCs w:val="32"/>
          <w:highlight w:val="none"/>
        </w:rPr>
        <w:t>套、甘肃</w:t>
      </w:r>
      <w:r>
        <w:rPr>
          <w:rFonts w:hint="eastAsia" w:ascii="仿宋_GB2312" w:hAnsi="仿宋_GB2312" w:cs="仿宋_GB2312"/>
          <w:color w:val="auto"/>
          <w:kern w:val="0"/>
          <w:sz w:val="32"/>
          <w:szCs w:val="32"/>
          <w:highlight w:val="none"/>
          <w:lang w:val="en-US" w:eastAsia="zh-CN"/>
        </w:rPr>
        <w:t>382</w:t>
      </w:r>
      <w:r>
        <w:rPr>
          <w:rFonts w:hint="eastAsia" w:ascii="仿宋_GB2312" w:hAnsi="仿宋_GB2312" w:eastAsia="仿宋_GB2312" w:cs="仿宋_GB2312"/>
          <w:color w:val="auto"/>
          <w:kern w:val="0"/>
          <w:sz w:val="32"/>
          <w:szCs w:val="32"/>
          <w:highlight w:val="none"/>
        </w:rPr>
        <w:t>套、新疆</w:t>
      </w:r>
      <w:r>
        <w:rPr>
          <w:rFonts w:hint="eastAsia" w:ascii="仿宋_GB2312" w:hAnsi="仿宋_GB2312" w:cs="仿宋_GB2312"/>
          <w:color w:val="auto"/>
          <w:kern w:val="0"/>
          <w:sz w:val="32"/>
          <w:szCs w:val="32"/>
          <w:highlight w:val="none"/>
          <w:lang w:val="en-US" w:eastAsia="zh-CN"/>
        </w:rPr>
        <w:t>100</w:t>
      </w:r>
      <w:r>
        <w:rPr>
          <w:rFonts w:hint="eastAsia" w:ascii="仿宋_GB2312" w:hAnsi="仿宋_GB2312" w:eastAsia="仿宋_GB2312" w:cs="仿宋_GB2312"/>
          <w:color w:val="auto"/>
          <w:kern w:val="0"/>
          <w:sz w:val="32"/>
          <w:szCs w:val="32"/>
          <w:highlight w:val="none"/>
        </w:rPr>
        <w:t>套。要求承担单位为牧区或半牧区县（团场）兽医主管部门或动物疫病预防控制机构。</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西部地区（东北地区）、中部地区每套中央投资规模分别控制在2.7和2.4万元以内，中央投资比例分别不超过90%和80%，西藏全部为中央投资。</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（五）动物防疫指定通道（公路动物防疫监督检查站）</w:t>
      </w:r>
    </w:p>
    <w:p>
      <w:pPr>
        <w:adjustRightInd w:val="0"/>
        <w:snapToGrid w:val="0"/>
        <w:spacing w:line="590" w:lineRule="exact"/>
        <w:ind w:firstLine="643" w:firstLineChars="200"/>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对经省级人民政府批准设立的动物防疫指定通道</w:t>
      </w:r>
      <w:r>
        <w:rPr>
          <w:rFonts w:hint="eastAsia" w:ascii="仿宋_GB2312" w:hAnsi="仿宋_GB2312" w:eastAsia="仿宋_GB2312" w:cs="仿宋_GB2312"/>
          <w:bCs/>
          <w:color w:val="auto"/>
          <w:kern w:val="0"/>
          <w:sz w:val="32"/>
          <w:szCs w:val="32"/>
          <w:highlight w:val="none"/>
        </w:rPr>
        <w:t>相关设施设备进行更新或改造，配备监督执法和信息化装备设施，提升</w:t>
      </w:r>
      <w:r>
        <w:rPr>
          <w:rFonts w:hint="eastAsia" w:ascii="仿宋_GB2312" w:hAnsi="仿宋_GB2312" w:eastAsia="仿宋_GB2312" w:cs="仿宋_GB2312"/>
          <w:color w:val="auto"/>
          <w:kern w:val="0"/>
          <w:sz w:val="32"/>
          <w:szCs w:val="32"/>
          <w:highlight w:val="none"/>
        </w:rPr>
        <w:t>动物查验能力，堵截染疫动物，控制流通环节动物疫病传播扩散风险。</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改造办公场地，完善检疫消毒、隔离观察等设施，购置检疫、取证、执法和通讯设备等，更新数码相机等调查取证设备，购置电脑、打印机等信息化设施设备。</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在</w:t>
      </w:r>
      <w:r>
        <w:rPr>
          <w:rFonts w:hint="eastAsia" w:ascii="仿宋_GB2312" w:hAnsi="仿宋_GB2312" w:eastAsia="仿宋_GB2312" w:cs="仿宋_GB2312"/>
          <w:color w:val="auto"/>
          <w:kern w:val="0"/>
          <w:sz w:val="32"/>
          <w:szCs w:val="32"/>
          <w:highlight w:val="none"/>
          <w:lang w:eastAsia="zh-CN"/>
        </w:rPr>
        <w:t>天津、</w:t>
      </w:r>
      <w:r>
        <w:rPr>
          <w:rFonts w:hint="eastAsia" w:ascii="仿宋_GB2312" w:hAnsi="仿宋_GB2312" w:eastAsia="仿宋_GB2312" w:cs="仿宋_GB2312"/>
          <w:color w:val="auto"/>
          <w:kern w:val="0"/>
          <w:sz w:val="32"/>
          <w:szCs w:val="32"/>
          <w:highlight w:val="none"/>
        </w:rPr>
        <w:t>河北、山西、黑龙江、浙江、安徽、福建、江西、山东、</w:t>
      </w:r>
      <w:r>
        <w:rPr>
          <w:rFonts w:hint="eastAsia" w:ascii="仿宋_GB2312" w:hAnsi="仿宋_GB2312" w:eastAsia="仿宋_GB2312" w:cs="仿宋_GB2312"/>
          <w:color w:val="auto"/>
          <w:kern w:val="0"/>
          <w:sz w:val="32"/>
          <w:szCs w:val="32"/>
          <w:highlight w:val="none"/>
          <w:lang w:val="en-US" w:eastAsia="zh-CN"/>
        </w:rPr>
        <w:t>湖南、广东、</w:t>
      </w:r>
      <w:r>
        <w:rPr>
          <w:rFonts w:hint="eastAsia" w:ascii="仿宋_GB2312" w:hAnsi="仿宋_GB2312" w:eastAsia="仿宋_GB2312" w:cs="仿宋_GB2312"/>
          <w:color w:val="auto"/>
          <w:kern w:val="0"/>
          <w:sz w:val="32"/>
          <w:szCs w:val="32"/>
          <w:highlight w:val="none"/>
        </w:rPr>
        <w:t>重庆、西藏、新疆等省份择优建设</w:t>
      </w:r>
      <w:r>
        <w:rPr>
          <w:rFonts w:hint="eastAsia" w:ascii="仿宋_GB2312" w:hAnsi="仿宋_GB2312" w:cs="仿宋_GB2312"/>
          <w:color w:val="auto"/>
          <w:kern w:val="0"/>
          <w:sz w:val="32"/>
          <w:szCs w:val="32"/>
          <w:highlight w:val="none"/>
          <w:lang w:val="en-US" w:eastAsia="zh-CN"/>
        </w:rPr>
        <w:t>60</w:t>
      </w:r>
      <w:r>
        <w:rPr>
          <w:rFonts w:hint="eastAsia" w:ascii="仿宋_GB2312" w:hAnsi="仿宋_GB2312" w:eastAsia="仿宋_GB2312" w:cs="仿宋_GB2312"/>
          <w:color w:val="auto"/>
          <w:kern w:val="0"/>
          <w:sz w:val="32"/>
          <w:szCs w:val="32"/>
          <w:highlight w:val="none"/>
        </w:rPr>
        <w:t>个，每个省份原则上不超过</w:t>
      </w:r>
      <w:r>
        <w:rPr>
          <w:rFonts w:hint="eastAsia" w:ascii="仿宋_GB2312" w:hAnsi="仿宋_GB2312" w:eastAsia="仿宋_GB2312" w:cs="仿宋_GB2312"/>
          <w:color w:val="auto"/>
          <w:kern w:val="0"/>
          <w:sz w:val="32"/>
          <w:szCs w:val="32"/>
          <w:highlight w:val="none"/>
          <w:lang w:val="en-US" w:eastAsia="zh-CN"/>
        </w:rPr>
        <w:t>6</w:t>
      </w:r>
      <w:r>
        <w:rPr>
          <w:rFonts w:hint="eastAsia" w:ascii="仿宋_GB2312" w:hAnsi="仿宋_GB2312" w:eastAsia="仿宋_GB2312" w:cs="仿宋_GB2312"/>
          <w:color w:val="auto"/>
          <w:kern w:val="0"/>
          <w:sz w:val="32"/>
          <w:szCs w:val="32"/>
          <w:highlight w:val="none"/>
        </w:rPr>
        <w:t>个。</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68" w:lineRule="exact"/>
        <w:ind w:firstLine="643" w:firstLineChars="200"/>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b w:val="0"/>
          <w:bCs/>
          <w:color w:val="auto"/>
          <w:kern w:val="0"/>
          <w:sz w:val="32"/>
          <w:szCs w:val="32"/>
          <w:highlight w:val="none"/>
          <w:lang w:val="en-US" w:eastAsia="zh-CN"/>
        </w:rPr>
        <w:t>天津、</w:t>
      </w:r>
      <w:r>
        <w:rPr>
          <w:rFonts w:hint="eastAsia" w:ascii="仿宋_GB2312" w:hAnsi="仿宋_GB2312" w:eastAsia="仿宋_GB2312" w:cs="仿宋_GB2312"/>
          <w:color w:val="auto"/>
          <w:kern w:val="0"/>
          <w:sz w:val="32"/>
          <w:szCs w:val="32"/>
          <w:highlight w:val="none"/>
        </w:rPr>
        <w:t>浙江、福建、山东</w:t>
      </w:r>
      <w:r>
        <w:rPr>
          <w:rFonts w:hint="eastAsia" w:ascii="仿宋_GB2312" w:hAnsi="仿宋_GB2312" w:eastAsia="仿宋_GB2312" w:cs="仿宋_GB2312"/>
          <w:color w:val="auto"/>
          <w:kern w:val="0"/>
          <w:sz w:val="32"/>
          <w:szCs w:val="32"/>
          <w:highlight w:val="none"/>
          <w:lang w:val="en-US" w:eastAsia="zh-CN"/>
        </w:rPr>
        <w:t>、广东</w:t>
      </w:r>
      <w:r>
        <w:rPr>
          <w:rFonts w:hint="eastAsia" w:ascii="仿宋_GB2312" w:hAnsi="仿宋_GB2312" w:eastAsia="仿宋_GB2312" w:cs="仿宋_GB2312"/>
          <w:color w:val="auto"/>
          <w:kern w:val="0"/>
          <w:sz w:val="32"/>
          <w:szCs w:val="32"/>
          <w:highlight w:val="none"/>
        </w:rPr>
        <w:t>每个</w:t>
      </w:r>
      <w:r>
        <w:rPr>
          <w:rFonts w:hint="eastAsia" w:ascii="仿宋_GB2312" w:hAnsi="仿宋_GB2312" w:eastAsia="仿宋_GB2312" w:cs="仿宋_GB2312"/>
          <w:bCs/>
          <w:color w:val="auto"/>
          <w:kern w:val="0"/>
          <w:sz w:val="32"/>
          <w:szCs w:val="32"/>
          <w:highlight w:val="none"/>
        </w:rPr>
        <w:t>动物防疫指定通道中央</w:t>
      </w:r>
      <w:r>
        <w:rPr>
          <w:rFonts w:hint="eastAsia" w:ascii="仿宋_GB2312" w:hAnsi="仿宋_GB2312" w:eastAsia="仿宋_GB2312" w:cs="仿宋_GB2312"/>
          <w:color w:val="auto"/>
          <w:kern w:val="0"/>
          <w:sz w:val="32"/>
          <w:szCs w:val="32"/>
          <w:highlight w:val="none"/>
        </w:rPr>
        <w:t>投资不超过30万元，</w:t>
      </w:r>
      <w:r>
        <w:rPr>
          <w:rFonts w:hint="eastAsia" w:ascii="仿宋_GB2312" w:hAnsi="仿宋_GB2312" w:eastAsia="仿宋_GB2312" w:cs="仿宋_GB2312"/>
          <w:bCs/>
          <w:color w:val="auto"/>
          <w:kern w:val="0"/>
          <w:sz w:val="32"/>
          <w:szCs w:val="32"/>
          <w:highlight w:val="none"/>
        </w:rPr>
        <w:t>中央投资比例不超过60%；</w:t>
      </w:r>
      <w:r>
        <w:rPr>
          <w:rFonts w:hint="eastAsia" w:ascii="仿宋_GB2312" w:hAnsi="仿宋_GB2312" w:eastAsia="仿宋_GB2312" w:cs="仿宋_GB2312"/>
          <w:color w:val="auto"/>
          <w:kern w:val="0"/>
          <w:sz w:val="32"/>
          <w:szCs w:val="32"/>
          <w:highlight w:val="none"/>
        </w:rPr>
        <w:t>河北、山西、安徽、江西</w:t>
      </w:r>
      <w:r>
        <w:rPr>
          <w:rFonts w:hint="eastAsia" w:ascii="仿宋_GB2312" w:hAnsi="仿宋_GB2312" w:eastAsia="仿宋_GB2312" w:cs="仿宋_GB2312"/>
          <w:color w:val="auto"/>
          <w:kern w:val="0"/>
          <w:sz w:val="32"/>
          <w:szCs w:val="32"/>
          <w:highlight w:val="none"/>
          <w:lang w:val="en-US" w:eastAsia="zh-CN"/>
        </w:rPr>
        <w:t>、湖南</w:t>
      </w:r>
      <w:r>
        <w:rPr>
          <w:rFonts w:hint="eastAsia" w:ascii="仿宋_GB2312" w:hAnsi="仿宋_GB2312" w:eastAsia="仿宋_GB2312" w:cs="仿宋_GB2312"/>
          <w:color w:val="auto"/>
          <w:kern w:val="0"/>
          <w:sz w:val="32"/>
          <w:szCs w:val="32"/>
          <w:highlight w:val="none"/>
        </w:rPr>
        <w:t>每个</w:t>
      </w:r>
      <w:r>
        <w:rPr>
          <w:rFonts w:hint="eastAsia" w:ascii="仿宋_GB2312" w:hAnsi="仿宋_GB2312" w:eastAsia="仿宋_GB2312" w:cs="仿宋_GB2312"/>
          <w:bCs/>
          <w:color w:val="auto"/>
          <w:kern w:val="0"/>
          <w:sz w:val="32"/>
          <w:szCs w:val="32"/>
          <w:highlight w:val="none"/>
        </w:rPr>
        <w:t>动物防疫指定通道中央</w:t>
      </w:r>
      <w:r>
        <w:rPr>
          <w:rFonts w:hint="eastAsia" w:ascii="仿宋_GB2312" w:hAnsi="仿宋_GB2312" w:eastAsia="仿宋_GB2312" w:cs="仿宋_GB2312"/>
          <w:color w:val="auto"/>
          <w:kern w:val="0"/>
          <w:sz w:val="32"/>
          <w:szCs w:val="32"/>
          <w:highlight w:val="none"/>
        </w:rPr>
        <w:t>投资不超过40万元，</w:t>
      </w:r>
      <w:r>
        <w:rPr>
          <w:rFonts w:hint="eastAsia" w:ascii="仿宋_GB2312" w:hAnsi="仿宋_GB2312" w:eastAsia="仿宋_GB2312" w:cs="仿宋_GB2312"/>
          <w:bCs/>
          <w:color w:val="auto"/>
          <w:kern w:val="0"/>
          <w:sz w:val="32"/>
          <w:szCs w:val="32"/>
          <w:highlight w:val="none"/>
        </w:rPr>
        <w:t>中央投资比例不超过80%；黑龙江、重庆、新疆每个动物防疫指定通道中央投资不超过45万元，中央投资比例不超过90%；西藏每个动物防疫指定通道中央投资不超过50万元，全部为中央投资。</w:t>
      </w:r>
    </w:p>
    <w:p>
      <w:pPr>
        <w:adjustRightInd w:val="0"/>
        <w:snapToGrid w:val="0"/>
        <w:spacing w:line="568" w:lineRule="exact"/>
        <w:ind w:firstLine="640" w:firstLineChars="200"/>
        <w:rPr>
          <w:rFonts w:hint="eastAsia" w:ascii="楷体_GB2312" w:hAnsi="楷体_GB2312" w:eastAsia="楷体_GB2312" w:cs="楷体_GB2312"/>
          <w:color w:val="auto"/>
          <w:kern w:val="0"/>
          <w:highlight w:val="none"/>
        </w:rPr>
      </w:pPr>
      <w:r>
        <w:rPr>
          <w:rFonts w:hint="eastAsia" w:ascii="楷体_GB2312" w:hAnsi="楷体_GB2312" w:eastAsia="楷体_GB2312" w:cs="楷体_GB2312"/>
          <w:color w:val="auto"/>
          <w:kern w:val="0"/>
          <w:highlight w:val="none"/>
        </w:rPr>
        <w:t>（六）动物疫病追溯监管平台</w:t>
      </w:r>
    </w:p>
    <w:p>
      <w:pPr>
        <w:pStyle w:val="6"/>
        <w:adjustRightInd w:val="0"/>
        <w:snapToGrid w:val="0"/>
        <w:spacing w:line="568" w:lineRule="exact"/>
        <w:ind w:firstLine="643" w:firstLineChars="200"/>
        <w:rPr>
          <w:rFonts w:hint="eastAsia"/>
        </w:rPr>
      </w:pPr>
      <w:r>
        <w:rPr>
          <w:rFonts w:hint="eastAsia" w:ascii="仿宋_GB2312" w:hAnsi="仿宋_GB2312" w:cs="仿宋_GB2312"/>
          <w:b/>
          <w:bCs/>
          <w:color w:val="auto"/>
          <w:kern w:val="0"/>
          <w:szCs w:val="32"/>
          <w:highlight w:val="none"/>
        </w:rPr>
        <w:t>1.建设要求。</w:t>
      </w:r>
      <w:r>
        <w:rPr>
          <w:rFonts w:hint="eastAsia"/>
        </w:rPr>
        <w:t>以中国动物疫病预防控制中心兽医卫生综合信息平为基础，补充完善智慧监管和追溯功能。</w:t>
      </w:r>
    </w:p>
    <w:p>
      <w:pPr>
        <w:pStyle w:val="6"/>
        <w:adjustRightInd w:val="0"/>
        <w:snapToGrid w:val="0"/>
        <w:spacing w:line="568" w:lineRule="exact"/>
        <w:ind w:firstLine="643" w:firstLineChars="200"/>
        <w:rPr>
          <w:rFonts w:hint="eastAsia"/>
        </w:rPr>
      </w:pPr>
      <w:r>
        <w:rPr>
          <w:rFonts w:hint="eastAsia" w:ascii="仿宋_GB2312" w:hAnsi="仿宋_GB2312" w:cs="仿宋_GB2312"/>
          <w:b/>
          <w:bCs/>
          <w:color w:val="auto"/>
          <w:kern w:val="0"/>
          <w:szCs w:val="32"/>
          <w:highlight w:val="none"/>
        </w:rPr>
        <w:t>2.建设内容。</w:t>
      </w:r>
      <w:r>
        <w:rPr>
          <w:rFonts w:hint="eastAsia"/>
        </w:rPr>
        <w:t>升级信息系统，购置服务器、数据存储、网络</w:t>
      </w:r>
      <w:r>
        <w:rPr>
          <w:rFonts w:hint="eastAsia"/>
          <w:snapToGrid w:val="0"/>
          <w:spacing w:val="-6"/>
          <w:kern w:val="0"/>
        </w:rPr>
        <w:t>安全等设施设备，开发信息采集、数据管理和数据分析软件系统等。</w:t>
      </w:r>
    </w:p>
    <w:p>
      <w:pPr>
        <w:pStyle w:val="6"/>
        <w:adjustRightInd w:val="0"/>
        <w:snapToGrid w:val="0"/>
        <w:spacing w:line="568" w:lineRule="exact"/>
        <w:ind w:firstLine="643" w:firstLineChars="200"/>
        <w:rPr>
          <w:rFonts w:hint="eastAsia"/>
        </w:rPr>
      </w:pPr>
      <w:r>
        <w:rPr>
          <w:rFonts w:hint="eastAsia" w:ascii="仿宋_GB2312" w:hAnsi="仿宋_GB2312" w:cs="仿宋_GB2312"/>
          <w:b/>
          <w:bCs/>
          <w:color w:val="auto"/>
          <w:kern w:val="0"/>
          <w:szCs w:val="32"/>
          <w:highlight w:val="none"/>
        </w:rPr>
        <w:t>3.储备条件。</w:t>
      </w:r>
      <w:r>
        <w:rPr>
          <w:rFonts w:hint="eastAsia"/>
        </w:rPr>
        <w:t>依托中国动物疫病预防控制中心建设。</w:t>
      </w:r>
    </w:p>
    <w:p>
      <w:pPr>
        <w:pStyle w:val="6"/>
        <w:adjustRightInd w:val="0"/>
        <w:snapToGrid w:val="0"/>
        <w:spacing w:line="568" w:lineRule="exact"/>
        <w:ind w:firstLine="643" w:firstLineChars="200"/>
        <w:rPr>
          <w:rFonts w:hint="eastAsia"/>
        </w:rPr>
      </w:pPr>
      <w:r>
        <w:rPr>
          <w:rFonts w:hint="eastAsia" w:ascii="仿宋_GB2312" w:hAnsi="仿宋_GB2312" w:cs="仿宋_GB2312"/>
          <w:b/>
          <w:bCs/>
          <w:color w:val="auto"/>
          <w:kern w:val="0"/>
          <w:szCs w:val="32"/>
          <w:highlight w:val="none"/>
        </w:rPr>
        <w:t>4.中央投资规模。</w:t>
      </w:r>
      <w:r>
        <w:rPr>
          <w:rFonts w:hint="eastAsia"/>
        </w:rPr>
        <w:t>中央投资不超过1000万元。</w:t>
      </w:r>
    </w:p>
    <w:p>
      <w:pPr>
        <w:adjustRightInd w:val="0"/>
        <w:snapToGrid w:val="0"/>
        <w:spacing w:line="568"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w:t>
      </w:r>
      <w:r>
        <w:rPr>
          <w:rFonts w:hint="eastAsia" w:ascii="楷体_GB2312" w:hAnsi="楷体_GB2312" w:eastAsia="楷体_GB2312" w:cs="楷体_GB2312"/>
          <w:b w:val="0"/>
          <w:bCs w:val="0"/>
          <w:color w:val="auto"/>
          <w:kern w:val="0"/>
          <w:sz w:val="32"/>
          <w:szCs w:val="32"/>
          <w:highlight w:val="none"/>
          <w:lang w:val="en-US" w:eastAsia="zh-CN"/>
        </w:rPr>
        <w:t>七</w:t>
      </w:r>
      <w:r>
        <w:rPr>
          <w:rFonts w:hint="eastAsia" w:ascii="楷体_GB2312" w:hAnsi="楷体_GB2312" w:eastAsia="楷体_GB2312" w:cs="楷体_GB2312"/>
          <w:b w:val="0"/>
          <w:bCs w:val="0"/>
          <w:color w:val="auto"/>
          <w:kern w:val="0"/>
          <w:sz w:val="32"/>
          <w:szCs w:val="32"/>
          <w:highlight w:val="none"/>
        </w:rPr>
        <w:t>）病死畜禽无害化收集处理场</w:t>
      </w:r>
    </w:p>
    <w:p>
      <w:pPr>
        <w:adjustRightInd w:val="0"/>
        <w:snapToGrid w:val="0"/>
        <w:spacing w:line="568"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选择省级已制定“十四五”病死畜禽无害化处理场布局规划、地方政府积极支持、有市场主体愿意承担、建设用地有保障的地方，支持建设病死畜禽无害化处理场，配套建设病死畜禽收集暂存点，优先支持开展病死猪无害化处理与保险联</w:t>
      </w:r>
      <w:r>
        <w:rPr>
          <w:rFonts w:hint="eastAsia" w:ascii="Times New Roman" w:hAnsi="Times New Roman" w:eastAsia="仿宋_GB2312" w:cs="Times New Roman"/>
          <w:snapToGrid w:val="0"/>
          <w:color w:val="auto"/>
          <w:spacing w:val="-6"/>
          <w:kern w:val="0"/>
          <w:sz w:val="32"/>
          <w:szCs w:val="20"/>
          <w:highlight w:val="none"/>
        </w:rPr>
        <w:t>动试点的地方，及跨行政区域收集处理病死畜禽的地方实施项目。</w:t>
      </w:r>
    </w:p>
    <w:p>
      <w:pPr>
        <w:pageBreakBefore w:val="0"/>
        <w:widowControl w:val="0"/>
        <w:kinsoku/>
        <w:wordWrap/>
        <w:overflowPunct/>
        <w:topLinePunct w:val="0"/>
        <w:autoSpaceDE/>
        <w:autoSpaceDN/>
        <w:bidi w:val="0"/>
        <w:adjustRightInd w:val="0"/>
        <w:snapToGrid w:val="0"/>
        <w:spacing w:line="568" w:lineRule="exact"/>
        <w:ind w:firstLine="643" w:firstLineChars="200"/>
        <w:jc w:val="both"/>
        <w:textAlignment w:val="auto"/>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主要包括厂房、收运系统、冷库系统、给水系统、控制系统、烘干系统、余热回收系统建设安装工程，干化机、焚烧炉、烘干机、破碎机、锅炉、储油设施、废弃采集系统等无害化处理场设施设备，以及冰柜、电子称、收集车辆、视频监控系统、车载GPS定位系统等收集体系设施设备。</w:t>
      </w:r>
    </w:p>
    <w:p>
      <w:pPr>
        <w:adjustRightInd w:val="0"/>
        <w:snapToGrid w:val="0"/>
        <w:spacing w:line="568"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全国每年支持建设15个左右无害化处理场，择优确定年度支持范围。</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pageBreakBefore w:val="0"/>
        <w:widowControl w:val="0"/>
        <w:kinsoku/>
        <w:wordWrap/>
        <w:overflowPunct/>
        <w:topLinePunct w:val="0"/>
        <w:autoSpaceDE/>
        <w:autoSpaceDN/>
        <w:bidi w:val="0"/>
        <w:adjustRightInd w:val="0"/>
        <w:snapToGrid w:val="0"/>
        <w:spacing w:line="590" w:lineRule="exact"/>
        <w:ind w:firstLine="643" w:firstLineChars="200"/>
        <w:jc w:val="both"/>
        <w:textAlignment w:val="auto"/>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每个病死畜禽无害化收集处理场中央定额投资200万元，地方投资和吸引社会资本投入不少于每个300万。</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w:t>
      </w:r>
      <w:r>
        <w:rPr>
          <w:rFonts w:hint="eastAsia" w:ascii="楷体_GB2312" w:hAnsi="楷体_GB2312" w:eastAsia="楷体_GB2312" w:cs="楷体_GB2312"/>
          <w:b w:val="0"/>
          <w:bCs w:val="0"/>
          <w:color w:val="auto"/>
          <w:kern w:val="0"/>
          <w:sz w:val="32"/>
          <w:szCs w:val="32"/>
          <w:highlight w:val="none"/>
          <w:lang w:val="en-US" w:eastAsia="zh-CN"/>
        </w:rPr>
        <w:t>八</w:t>
      </w:r>
      <w:r>
        <w:rPr>
          <w:rFonts w:hint="eastAsia" w:ascii="楷体_GB2312" w:hAnsi="楷体_GB2312" w:eastAsia="楷体_GB2312" w:cs="楷体_GB2312"/>
          <w:b w:val="0"/>
          <w:bCs w:val="0"/>
          <w:color w:val="auto"/>
          <w:kern w:val="0"/>
          <w:sz w:val="32"/>
          <w:szCs w:val="32"/>
          <w:highlight w:val="none"/>
        </w:rPr>
        <w:t>）兽药风险监测设施改扩建项目</w:t>
      </w:r>
    </w:p>
    <w:p>
      <w:pPr>
        <w:adjustRightInd w:val="0"/>
        <w:snapToGrid w:val="0"/>
        <w:spacing w:line="590" w:lineRule="exact"/>
        <w:ind w:firstLine="643" w:firstLineChars="200"/>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按照填平补齐原则，改扩建省级兽药检验机构的兽用生物制品检验、动物源细菌耐药性监测、兽药非法添加物、兽药质量检验和兽药残留检测实验室，承担兽用生物制品检验、兽药质量及兽药残留检测、动物源细菌耐药性监测和预警评估、兽药中非法添加物标准制修订和检验等工作，优化兽药检验和兽药风险监测设施，补齐仪器设备缺口，提升检测能力和精度，保障兽用生物制品质量安全和动物产品质量安全。</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2.建设内容。一是兽用生物制品区域性检验实验室</w:t>
      </w:r>
      <w:r>
        <w:rPr>
          <w:rFonts w:hint="eastAsia" w:ascii="仿宋_GB2312" w:hAnsi="仿宋_GB2312" w:eastAsia="仿宋_GB2312" w:cs="仿宋_GB2312"/>
          <w:color w:val="auto"/>
          <w:kern w:val="0"/>
          <w:sz w:val="32"/>
          <w:szCs w:val="32"/>
          <w:highlight w:val="none"/>
        </w:rPr>
        <w:t>建设内容主要包括：新建（改扩建）兽用生物制品检验实验室、动物房，购置超速离心机、高通量测序仪、微生物自动鉴定系统等开展兽用生物制品检验工作的仪器设备，污物（水）无害化处理设施设备。</w:t>
      </w:r>
      <w:r>
        <w:rPr>
          <w:rFonts w:hint="eastAsia" w:ascii="仿宋_GB2312" w:hAnsi="仿宋_GB2312" w:cs="仿宋_GB2312"/>
          <w:b/>
          <w:bCs/>
          <w:color w:val="auto"/>
          <w:kern w:val="0"/>
          <w:sz w:val="32"/>
          <w:szCs w:val="32"/>
          <w:highlight w:val="none"/>
          <w:lang w:eastAsia="zh-CN"/>
        </w:rPr>
        <w:t>二</w:t>
      </w:r>
      <w:r>
        <w:rPr>
          <w:rFonts w:hint="eastAsia" w:ascii="仿宋_GB2312" w:hAnsi="仿宋_GB2312" w:eastAsia="仿宋_GB2312" w:cs="仿宋_GB2312"/>
          <w:b/>
          <w:bCs/>
          <w:color w:val="auto"/>
          <w:kern w:val="0"/>
          <w:sz w:val="32"/>
          <w:szCs w:val="32"/>
          <w:highlight w:val="none"/>
        </w:rPr>
        <w:t>是兽药质量及兽药残留检测实验室</w:t>
      </w:r>
      <w:r>
        <w:rPr>
          <w:rFonts w:hint="eastAsia" w:ascii="仿宋_GB2312" w:hAnsi="仿宋_GB2312" w:eastAsia="仿宋_GB2312" w:cs="仿宋_GB2312"/>
          <w:color w:val="auto"/>
          <w:kern w:val="0"/>
          <w:sz w:val="32"/>
          <w:szCs w:val="32"/>
          <w:highlight w:val="none"/>
        </w:rPr>
        <w:t>建设内容主要包括：新建（改扩建）兽药检验及残留检测实验室，购置高分辨率串联质谱仪、高效液相色谱-串联质谱仪等开展兽药检验、残留检测工作的仪器设备。</w:t>
      </w:r>
      <w:r>
        <w:rPr>
          <w:rFonts w:hint="eastAsia" w:ascii="仿宋_GB2312" w:hAnsi="仿宋_GB2312" w:cs="仿宋_GB2312"/>
          <w:b/>
          <w:bCs/>
          <w:color w:val="auto"/>
          <w:kern w:val="0"/>
          <w:sz w:val="32"/>
          <w:szCs w:val="32"/>
          <w:highlight w:val="none"/>
          <w:lang w:eastAsia="zh-CN"/>
        </w:rPr>
        <w:t>三</w:t>
      </w:r>
      <w:r>
        <w:rPr>
          <w:rFonts w:hint="eastAsia" w:ascii="仿宋_GB2312" w:hAnsi="仿宋_GB2312" w:eastAsia="仿宋_GB2312" w:cs="仿宋_GB2312"/>
          <w:b/>
          <w:bCs/>
          <w:color w:val="auto"/>
          <w:kern w:val="0"/>
          <w:sz w:val="32"/>
          <w:szCs w:val="32"/>
          <w:highlight w:val="none"/>
        </w:rPr>
        <w:t>是兽药中非法添加物检测实验室</w:t>
      </w:r>
      <w:r>
        <w:rPr>
          <w:rFonts w:hint="eastAsia" w:ascii="仿宋_GB2312" w:hAnsi="仿宋_GB2312" w:eastAsia="仿宋_GB2312" w:cs="仿宋_GB2312"/>
          <w:color w:val="auto"/>
          <w:kern w:val="0"/>
          <w:sz w:val="32"/>
          <w:szCs w:val="32"/>
          <w:highlight w:val="none"/>
        </w:rPr>
        <w:t>建设内容主要包括：新建（改扩建）兽药中非法添加物检测实验室，购置高分辨率串联质谱仪等兽药中非法添加物检测用仪器设备。</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兽用生物制品区域性检验实验室布局范围：河北、江苏；兽药质量和兽药残留检测实验室布局范围：广东、黑龙江、海南；兽药中非法添加物检测实验室布局范围：上海。要求承担单位为省级以上兽药检验机构，具备承担相应工作任务实验室人员、技术和经费保障等条件。</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4.中央投资规模。一是兽用生物制品区域性检验实验室。</w:t>
      </w:r>
      <w:r>
        <w:rPr>
          <w:rFonts w:hint="eastAsia" w:ascii="仿宋_GB2312" w:hAnsi="仿宋_GB2312" w:eastAsia="仿宋_GB2312" w:cs="仿宋_GB2312"/>
          <w:color w:val="auto"/>
          <w:kern w:val="0"/>
          <w:sz w:val="32"/>
          <w:szCs w:val="32"/>
          <w:highlight w:val="none"/>
        </w:rPr>
        <w:t>河北：中央投资规模控制在2400万元以内，中央投资比例不超过80%；江苏：每个省份中央投资规模控制在1800万元以内，中央投资比例不超过60%。</w:t>
      </w:r>
      <w:r>
        <w:rPr>
          <w:rFonts w:hint="eastAsia" w:ascii="仿宋_GB2312" w:hAnsi="仿宋_GB2312" w:eastAsia="仿宋_GB2312" w:cs="仿宋_GB2312"/>
          <w:b/>
          <w:bCs/>
          <w:color w:val="auto"/>
          <w:kern w:val="0"/>
          <w:sz w:val="32"/>
          <w:szCs w:val="32"/>
          <w:highlight w:val="none"/>
        </w:rPr>
        <w:t>二是兽药质量和兽药残留检测实验室。</w:t>
      </w:r>
      <w:r>
        <w:rPr>
          <w:rFonts w:hint="eastAsia" w:ascii="仿宋_GB2312" w:hAnsi="仿宋_GB2312" w:eastAsia="仿宋_GB2312" w:cs="仿宋_GB2312"/>
          <w:color w:val="auto"/>
          <w:kern w:val="0"/>
          <w:sz w:val="32"/>
          <w:szCs w:val="32"/>
          <w:highlight w:val="none"/>
        </w:rPr>
        <w:t>广东：中央投资规模控制在480万元以内，中央投资比例不超过60%；黑龙江、海南：每个省份中央投资规模控制在720万元以内，中央投资比例不超过90%</w:t>
      </w:r>
      <w:r>
        <w:rPr>
          <w:rFonts w:hint="eastAsia" w:ascii="仿宋_GB2312" w:hAnsi="仿宋_GB2312" w:cs="仿宋_GB2312"/>
          <w:color w:val="auto"/>
          <w:kern w:val="0"/>
          <w:sz w:val="32"/>
          <w:szCs w:val="32"/>
          <w:highlight w:val="none"/>
          <w:lang w:eastAsia="zh-CN"/>
        </w:rPr>
        <w:t>。</w:t>
      </w:r>
      <w:r>
        <w:rPr>
          <w:rFonts w:hint="eastAsia" w:ascii="仿宋_GB2312" w:hAnsi="仿宋_GB2312" w:eastAsia="仿宋_GB2312" w:cs="仿宋_GB2312"/>
          <w:b/>
          <w:bCs/>
          <w:color w:val="auto"/>
          <w:kern w:val="0"/>
          <w:sz w:val="32"/>
          <w:szCs w:val="32"/>
          <w:highlight w:val="none"/>
          <w:lang w:eastAsia="zh-CN"/>
        </w:rPr>
        <w:t>三</w:t>
      </w:r>
      <w:r>
        <w:rPr>
          <w:rFonts w:hint="eastAsia" w:ascii="仿宋_GB2312" w:hAnsi="仿宋_GB2312" w:eastAsia="仿宋_GB2312" w:cs="仿宋_GB2312"/>
          <w:b/>
          <w:bCs/>
          <w:color w:val="auto"/>
          <w:kern w:val="0"/>
          <w:sz w:val="32"/>
          <w:szCs w:val="32"/>
          <w:highlight w:val="none"/>
        </w:rPr>
        <w:t>是兽药中非法添加物检测实验室。</w:t>
      </w:r>
      <w:r>
        <w:rPr>
          <w:rFonts w:hint="eastAsia" w:ascii="仿宋_GB2312" w:hAnsi="仿宋_GB2312" w:eastAsia="仿宋_GB2312" w:cs="仿宋_GB2312"/>
          <w:color w:val="auto"/>
          <w:kern w:val="0"/>
          <w:sz w:val="32"/>
          <w:szCs w:val="32"/>
          <w:highlight w:val="none"/>
        </w:rPr>
        <w:t>上海：每个省份中央投资规模控制在720万元以内，中央投资比例不超过60%。</w:t>
      </w:r>
    </w:p>
    <w:p>
      <w:pPr>
        <w:adjustRightInd w:val="0"/>
        <w:snapToGrid w:val="0"/>
        <w:spacing w:line="590" w:lineRule="exact"/>
        <w:ind w:firstLine="640" w:firstLineChars="200"/>
        <w:rPr>
          <w:rFonts w:hint="eastAsia" w:ascii="黑体" w:hAnsi="黑体" w:eastAsia="黑体" w:cs="黑体"/>
          <w:b w:val="0"/>
          <w:bCs w:val="0"/>
          <w:color w:val="auto"/>
          <w:kern w:val="0"/>
          <w:sz w:val="32"/>
          <w:szCs w:val="32"/>
          <w:highlight w:val="none"/>
        </w:rPr>
      </w:pPr>
      <w:r>
        <w:rPr>
          <w:rFonts w:hint="eastAsia" w:ascii="黑体" w:hAnsi="黑体" w:eastAsia="黑体" w:cs="黑体"/>
          <w:b w:val="0"/>
          <w:bCs w:val="0"/>
          <w:color w:val="auto"/>
          <w:kern w:val="0"/>
          <w:sz w:val="32"/>
          <w:szCs w:val="32"/>
          <w:highlight w:val="none"/>
        </w:rPr>
        <w:t>二、水生动物保护能力提升工程</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 xml:space="preserve">（一）省级水生动物疫病监控中心 </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新建和改扩建省级水生动物疫病监控中心，开展辖区内或相应流域海区内水生动物疫病监测和流行病学调查，为辖区内或相应流域海区内水生动物疫病防控和产业发展提供支撑，并指导、带动辖区内地市级、县级水生动物疫病防控机构为水产苗种产地检疫提供技术支撑。</w:t>
      </w:r>
    </w:p>
    <w:p>
      <w:pPr>
        <w:adjustRightInd w:val="0"/>
        <w:snapToGrid w:val="0"/>
        <w:spacing w:line="590" w:lineRule="exact"/>
        <w:ind w:firstLine="643" w:firstLineChars="200"/>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 xml:space="preserve">新建或改扩建水生动物疫病实验室及技术试验示范所需场地。主要包括疫病会诊室、接样室、无害化处理室、准备室、组织病理室、细菌室、水质检测室、养殖试验场等功能区，购置细菌分离、药物敏感检测、组织病理检测及水质检测用实验设备，无害化处理设施，以及运输工具等。   </w:t>
      </w:r>
    </w:p>
    <w:p>
      <w:pPr>
        <w:adjustRightInd w:val="0"/>
        <w:snapToGrid w:val="0"/>
        <w:spacing w:line="590" w:lineRule="exact"/>
        <w:ind w:firstLine="643" w:firstLineChars="200"/>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项目已列入《全国动植物保护能力提升工程建设规划（2017－2025年）》。新建项目由广东、新疆生产建设兵团等2个省级水产技术推广或水生动物疫病防控机构承担。</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新建项目总投资不超过1000万元，扩建项目总投资不超过500万元。其中，广东省中央投资比例不超过60%；新疆生产建设兵团中央投资比例不超过90%。</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 xml:space="preserve">（二）水生动物疫病防控监测区域中心 </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新建水生动物疫病防控监测区域中心，承担辖区内水生动物疫病监测、防疫、病害防治技术服务、水产品质量安全和渔业水域环境检测，渔用药物耐药性监测普查，苗种产地检疫技术支撑，技术培训，并指导、带动辖区内县级水生动物疫病防治站为苗种产地检疫提供技术支撑。</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新建或改扩建水生动物疫病实验室及技术试验示范所需场地。主要包括实验准备室、细菌检验实验室、寄生虫检验实验室、分子生物学实验室、理化实验室、药品和试剂室、</w:t>
      </w:r>
      <w:r>
        <w:rPr>
          <w:rFonts w:hint="eastAsia" w:ascii="仿宋_GB2312" w:hAnsi="仿宋_GB2312" w:eastAsia="仿宋_GB2312" w:cs="仿宋_GB2312"/>
          <w:color w:val="auto"/>
          <w:spacing w:val="-6"/>
          <w:kern w:val="0"/>
          <w:sz w:val="32"/>
          <w:szCs w:val="32"/>
          <w:highlight w:val="none"/>
        </w:rPr>
        <w:t>天平室、信息资料综合分析室等功能区建设，购置细菌检测、寄</w:t>
      </w:r>
      <w:r>
        <w:rPr>
          <w:rFonts w:hint="eastAsia" w:ascii="仿宋_GB2312" w:hAnsi="仿宋_GB2312" w:eastAsia="仿宋_GB2312" w:cs="仿宋_GB2312"/>
          <w:snapToGrid w:val="0"/>
          <w:color w:val="auto"/>
          <w:spacing w:val="-6"/>
          <w:kern w:val="0"/>
          <w:sz w:val="32"/>
          <w:szCs w:val="32"/>
          <w:highlight w:val="none"/>
        </w:rPr>
        <w:t xml:space="preserve">生虫检测、水质检测及药物敏感型检测用实验设备以及运输工具等。 </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项目已列入《全国动植物保护能力提升工程建设规划（2017－2025年）》。新建</w:t>
      </w:r>
      <w:r>
        <w:rPr>
          <w:rFonts w:hint="eastAsia" w:ascii="仿宋_GB2312" w:hAnsi="仿宋_GB2312" w:cs="仿宋_GB2312"/>
          <w:color w:val="auto"/>
          <w:kern w:val="0"/>
          <w:sz w:val="32"/>
          <w:szCs w:val="32"/>
          <w:highlight w:val="none"/>
          <w:lang w:val="en-US" w:eastAsia="zh-CN"/>
        </w:rPr>
        <w:t>8</w:t>
      </w:r>
      <w:r>
        <w:rPr>
          <w:rFonts w:hint="eastAsia" w:ascii="仿宋_GB2312" w:hAnsi="仿宋_GB2312" w:eastAsia="仿宋_GB2312" w:cs="仿宋_GB2312"/>
          <w:color w:val="auto"/>
          <w:kern w:val="0"/>
          <w:sz w:val="32"/>
          <w:szCs w:val="32"/>
          <w:highlight w:val="none"/>
        </w:rPr>
        <w:t>个水生动物疫病防控监测区域中心，项目由计划单列市和地市级水产技术推广或水生动物疫病防控机构建设。其中江苏3个、福建3个、广东2个。</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新建项目总投资不超过500万元，其中江苏、福建、广东中央投资比例不超过项目总投资的60%</w:t>
      </w:r>
      <w:r>
        <w:rPr>
          <w:rFonts w:hint="eastAsia" w:ascii="仿宋_GB2312" w:hAnsi="仿宋_GB2312" w:cs="仿宋_GB2312"/>
          <w:color w:val="auto"/>
          <w:kern w:val="0"/>
          <w:sz w:val="32"/>
          <w:szCs w:val="32"/>
          <w:highlight w:val="none"/>
          <w:lang w:eastAsia="zh-CN"/>
        </w:rPr>
        <w:t>。</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（三）水生动物疫病专业实验室</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新建水生动物疫病专业实验室，项目建成后具备开展水产流行病临床防控技术或水生动物疫病免疫诊断技术研究工作的能力，能为水生动物疫病防控体系提供专项技术支持。</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包括改扩建实验室、样品处理室、病原学实验室、分子学实验室、免疫学检测室、预备实验室、低温贮存室、无害化处理室、水实验室、档案与信息处理室等功能区；购置样品处理及检测分析等功能仪器设备。</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项目已列入《全国动植物保护能力提升工程建设规划（2017－2025年）》。新建2个水生动物疫病专业实验室,</w:t>
      </w:r>
      <w:r>
        <w:rPr>
          <w:rFonts w:hint="eastAsia" w:ascii="仿宋_GB2312" w:hAnsi="仿宋_GB2312" w:cs="仿宋_GB2312"/>
          <w:color w:val="auto"/>
          <w:kern w:val="0"/>
          <w:sz w:val="32"/>
          <w:szCs w:val="32"/>
          <w:highlight w:val="none"/>
          <w:lang w:eastAsia="zh-CN"/>
        </w:rPr>
        <w:t>其中</w:t>
      </w:r>
      <w:r>
        <w:rPr>
          <w:rFonts w:hint="eastAsia" w:ascii="仿宋_GB2312" w:hAnsi="仿宋_GB2312" w:eastAsia="仿宋_GB2312" w:cs="仿宋_GB2312"/>
          <w:color w:val="auto"/>
          <w:kern w:val="0"/>
          <w:sz w:val="32"/>
          <w:szCs w:val="32"/>
          <w:highlight w:val="none"/>
        </w:rPr>
        <w:t>广东省动物疫病预防控制中心</w:t>
      </w:r>
      <w:r>
        <w:rPr>
          <w:rFonts w:hint="eastAsia" w:ascii="仿宋_GB2312" w:hAnsi="仿宋_GB2312" w:cs="仿宋_GB2312"/>
          <w:color w:val="auto"/>
          <w:kern w:val="0"/>
          <w:sz w:val="32"/>
          <w:szCs w:val="32"/>
          <w:highlight w:val="none"/>
          <w:lang w:val="en-US" w:eastAsia="zh-CN"/>
        </w:rPr>
        <w:t>1个</w:t>
      </w:r>
      <w:r>
        <w:rPr>
          <w:rFonts w:hint="eastAsia" w:ascii="仿宋_GB2312" w:hAnsi="仿宋_GB2312" w:eastAsia="仿宋_GB2312" w:cs="仿宋_GB2312"/>
          <w:color w:val="auto"/>
          <w:kern w:val="0"/>
          <w:sz w:val="32"/>
          <w:szCs w:val="32"/>
          <w:highlight w:val="none"/>
        </w:rPr>
        <w:t>、有关水产高校1个。</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单个项目总投资不超过1000万元，其中地方项目中央对东部、中部、西部、东北地区投资比例分别不超过60%、80%、90%、90%；</w:t>
      </w:r>
      <w:r>
        <w:rPr>
          <w:rFonts w:hint="eastAsia" w:ascii="仿宋_GB2312" w:hAnsi="仿宋_GB2312" w:eastAsia="仿宋_GB2312" w:cs="仿宋_GB2312"/>
          <w:color w:val="000000"/>
          <w:kern w:val="0"/>
          <w:sz w:val="32"/>
          <w:szCs w:val="32"/>
          <w:highlight w:val="none"/>
        </w:rPr>
        <w:t>中央直属高校项目全部为中央投资</w:t>
      </w:r>
      <w:r>
        <w:rPr>
          <w:rFonts w:hint="eastAsia" w:ascii="仿宋_GB2312" w:hAnsi="仿宋_GB2312" w:eastAsia="仿宋_GB2312" w:cs="仿宋_GB2312"/>
          <w:color w:val="auto"/>
          <w:kern w:val="0"/>
          <w:sz w:val="32"/>
          <w:szCs w:val="32"/>
          <w:highlight w:val="none"/>
        </w:rPr>
        <w:t>。</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（四）水生动物疫病研究综合试验基地</w:t>
      </w:r>
    </w:p>
    <w:p>
      <w:pPr>
        <w:adjustRightInd w:val="0"/>
        <w:snapToGrid w:val="0"/>
        <w:spacing w:line="568" w:lineRule="exact"/>
        <w:ind w:firstLine="643" w:firstLineChars="200"/>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综合试验基地承担养殖用诊断试剂、有益微生物制剂、水生动物用疫苗及中草药制剂等的研发任务，具有疫病标本、样品、病原、实验水生动物、药物原料和诊疗制剂等资源的收集、鉴定、保藏、管理、共享等职责。</w:t>
      </w:r>
    </w:p>
    <w:p>
      <w:pPr>
        <w:adjustRightInd w:val="0"/>
        <w:snapToGrid w:val="0"/>
        <w:spacing w:line="568" w:lineRule="exact"/>
        <w:ind w:firstLine="643" w:firstLineChars="200"/>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新建水生动物诊疗制剂研发与临床实验室、试验车间，水生动物疫苗质量评估测试车间、标准化防疫试验池塘等，配套建设泵房、蓄水池、污水处理池等附属工程，购置必要的科研仪器设备。</w:t>
      </w:r>
    </w:p>
    <w:p>
      <w:pPr>
        <w:adjustRightInd w:val="0"/>
        <w:snapToGrid w:val="0"/>
        <w:spacing w:line="568"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项目已列入《全国动植物保护能力提升工程建设规划（2017－2025年）》。</w:t>
      </w:r>
      <w:r>
        <w:rPr>
          <w:rFonts w:hint="eastAsia" w:ascii="仿宋_GB2312" w:hAnsi="仿宋_GB2312" w:eastAsia="仿宋_GB2312" w:cs="仿宋_GB2312"/>
          <w:color w:val="000000"/>
          <w:kern w:val="0"/>
          <w:sz w:val="32"/>
          <w:szCs w:val="32"/>
          <w:highlight w:val="none"/>
        </w:rPr>
        <w:t>部直属单位</w:t>
      </w:r>
      <w:r>
        <w:rPr>
          <w:rFonts w:hint="eastAsia" w:ascii="仿宋_GB2312" w:hAnsi="仿宋_GB2312" w:eastAsia="仿宋_GB2312" w:cs="仿宋_GB2312"/>
          <w:color w:val="auto"/>
          <w:kern w:val="0"/>
          <w:sz w:val="32"/>
          <w:szCs w:val="32"/>
          <w:highlight w:val="none"/>
        </w:rPr>
        <w:t>限报3个。</w:t>
      </w:r>
    </w:p>
    <w:p>
      <w:pPr>
        <w:adjustRightInd w:val="0"/>
        <w:snapToGrid w:val="0"/>
        <w:spacing w:line="568"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单个项目总投资不超过5000万元，</w:t>
      </w:r>
      <w:r>
        <w:rPr>
          <w:rFonts w:hint="eastAsia" w:ascii="仿宋_GB2312" w:hAnsi="仿宋_GB2312" w:eastAsia="仿宋_GB2312" w:cs="仿宋_GB2312"/>
          <w:color w:val="000000"/>
          <w:kern w:val="0"/>
          <w:sz w:val="32"/>
          <w:szCs w:val="32"/>
          <w:highlight w:val="none"/>
        </w:rPr>
        <w:t>全部为中央投资。</w:t>
      </w:r>
    </w:p>
    <w:p>
      <w:pPr>
        <w:adjustRightInd w:val="0"/>
        <w:snapToGrid w:val="0"/>
        <w:spacing w:line="568"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（五）水生动物疫病研究专业试验基地</w:t>
      </w:r>
    </w:p>
    <w:p>
      <w:pPr>
        <w:adjustRightInd w:val="0"/>
        <w:snapToGrid w:val="0"/>
        <w:spacing w:line="568" w:lineRule="exact"/>
        <w:ind w:firstLine="643" w:firstLineChars="200"/>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专业试验基地承担养殖用诊断试剂、有益微生物制剂、水生动物用疫苗及中草药制剂等的研发任务，具有疫病标本、样品、病原、实验水生动物、药物原料和诊疗制剂等资源的收集、鉴定、保藏、管理、共享等职责。</w:t>
      </w:r>
    </w:p>
    <w:p>
      <w:pPr>
        <w:adjustRightInd w:val="0"/>
        <w:snapToGrid w:val="0"/>
        <w:spacing w:line="568" w:lineRule="exact"/>
        <w:ind w:firstLine="643" w:firstLineChars="200"/>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新建水生动物诊疗制剂研发与临床实验室、试验车间，水生动物疫苗质量评估测试车间、标准化防疫试验池塘等，配套建设泵房、蓄水池、污水处理池等附属工程，购置必要的科研仪器设备。</w:t>
      </w:r>
    </w:p>
    <w:p>
      <w:pPr>
        <w:adjustRightInd w:val="0"/>
        <w:snapToGrid w:val="0"/>
        <w:spacing w:line="568" w:lineRule="exact"/>
        <w:ind w:firstLine="643" w:firstLineChars="200"/>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项目已列入《全国动植物保护能力提升工程建设规划（2017－2025年）》。部直属单位限报1个。</w:t>
      </w:r>
    </w:p>
    <w:p>
      <w:pPr>
        <w:adjustRightInd w:val="0"/>
        <w:snapToGrid w:val="0"/>
        <w:spacing w:line="568" w:lineRule="exact"/>
        <w:ind w:firstLine="643"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单个项目总投资不超过3000万元，</w:t>
      </w:r>
      <w:r>
        <w:rPr>
          <w:rFonts w:hint="eastAsia" w:ascii="仿宋_GB2312" w:hAnsi="仿宋_GB2312" w:eastAsia="仿宋_GB2312" w:cs="仿宋_GB2312"/>
          <w:color w:val="000000"/>
          <w:kern w:val="0"/>
          <w:sz w:val="32"/>
          <w:szCs w:val="32"/>
          <w:highlight w:val="none"/>
        </w:rPr>
        <w:t>全部为中央投资。</w:t>
      </w:r>
    </w:p>
    <w:p>
      <w:pPr>
        <w:adjustRightInd w:val="0"/>
        <w:snapToGrid w:val="0"/>
        <w:spacing w:line="568"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 xml:space="preserve">（六）国家水生动物疫病监测及流行病学调查中心 </w:t>
      </w:r>
    </w:p>
    <w:p>
      <w:pPr>
        <w:adjustRightInd w:val="0"/>
        <w:snapToGrid w:val="0"/>
        <w:spacing w:line="568" w:lineRule="exact"/>
        <w:ind w:firstLine="643" w:firstLineChars="200"/>
        <w:rPr>
          <w:rFonts w:hint="eastAsia" w:ascii="仿宋_GB2312" w:hAnsi="仿宋_GB2312" w:eastAsia="仿宋_GB2312" w:cs="仿宋_GB2312"/>
          <w:b w:val="0"/>
          <w:bCs w:val="0"/>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b w:val="0"/>
          <w:bCs w:val="0"/>
          <w:color w:val="auto"/>
          <w:kern w:val="0"/>
          <w:sz w:val="32"/>
          <w:szCs w:val="32"/>
          <w:highlight w:val="none"/>
        </w:rPr>
        <w:t>承担全国水生动物疫病监测</w:t>
      </w:r>
      <w:r>
        <w:rPr>
          <w:rFonts w:hint="eastAsia" w:ascii="仿宋_GB2312" w:hAnsi="仿宋_GB2312" w:eastAsia="仿宋_GB2312" w:cs="仿宋_GB2312"/>
          <w:b w:val="0"/>
          <w:bCs w:val="0"/>
          <w:color w:val="auto"/>
          <w:kern w:val="0"/>
          <w:sz w:val="32"/>
          <w:szCs w:val="32"/>
          <w:highlight w:val="none"/>
          <w:lang w:val="en-US" w:eastAsia="zh-CN"/>
        </w:rPr>
        <w:t>与</w:t>
      </w:r>
      <w:r>
        <w:rPr>
          <w:rFonts w:hint="eastAsia" w:ascii="仿宋_GB2312" w:hAnsi="仿宋_GB2312" w:eastAsia="仿宋_GB2312" w:cs="仿宋_GB2312"/>
          <w:b w:val="0"/>
          <w:bCs w:val="0"/>
          <w:color w:val="auto"/>
          <w:kern w:val="0"/>
          <w:sz w:val="32"/>
          <w:szCs w:val="32"/>
          <w:highlight w:val="none"/>
        </w:rPr>
        <w:t>预警、重要疫病流行病学调查及水生动物卫生状况评估、突发疫情应急处置的指</w:t>
      </w:r>
      <w:r>
        <w:rPr>
          <w:rFonts w:hint="eastAsia" w:ascii="仿宋_GB2312" w:hAnsi="仿宋_GB2312" w:eastAsia="仿宋_GB2312" w:cs="仿宋_GB2312"/>
          <w:b w:val="0"/>
          <w:bCs w:val="0"/>
          <w:color w:val="auto"/>
          <w:kern w:val="0"/>
          <w:sz w:val="32"/>
          <w:szCs w:val="32"/>
          <w:highlight w:val="none"/>
          <w:lang w:val="en-US" w:eastAsia="zh-CN"/>
        </w:rPr>
        <w:t>挥</w:t>
      </w:r>
      <w:r>
        <w:rPr>
          <w:rFonts w:hint="eastAsia" w:ascii="仿宋_GB2312" w:hAnsi="仿宋_GB2312" w:eastAsia="仿宋_GB2312" w:cs="仿宋_GB2312"/>
          <w:b w:val="0"/>
          <w:bCs w:val="0"/>
          <w:color w:val="auto"/>
          <w:kern w:val="0"/>
          <w:sz w:val="32"/>
          <w:szCs w:val="32"/>
          <w:highlight w:val="none"/>
        </w:rPr>
        <w:t>调度、水生动物疫病检测和防控技术研究与应用、水生动物疫病防控技术示范推广与交流等任务，提升我国水生动物疫病防控工作能力和水平，为渔业高质量发展提供重要支撑。</w:t>
      </w:r>
    </w:p>
    <w:p>
      <w:pPr>
        <w:adjustRightInd w:val="0"/>
        <w:snapToGrid w:val="0"/>
        <w:spacing w:line="568" w:lineRule="exact"/>
        <w:ind w:firstLine="643" w:firstLineChars="200"/>
        <w:rPr>
          <w:rFonts w:hint="eastAsia" w:ascii="仿宋_GB2312" w:hAnsi="仿宋_GB2312" w:eastAsia="仿宋_GB2312" w:cs="仿宋_GB2312"/>
          <w:b w:val="0"/>
          <w:bCs w:val="0"/>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b w:val="0"/>
          <w:bCs w:val="0"/>
          <w:color w:val="auto"/>
          <w:kern w:val="0"/>
          <w:sz w:val="32"/>
          <w:szCs w:val="32"/>
          <w:highlight w:val="none"/>
        </w:rPr>
        <w:t>新建水生动物疫病实验室，购置</w:t>
      </w:r>
      <w:r>
        <w:rPr>
          <w:rFonts w:hint="eastAsia" w:ascii="仿宋_GB2312" w:hAnsi="仿宋_GB2312" w:eastAsia="仿宋_GB2312" w:cs="仿宋_GB2312"/>
          <w:b w:val="0"/>
          <w:bCs w:val="0"/>
          <w:color w:val="auto"/>
          <w:kern w:val="0"/>
          <w:sz w:val="32"/>
          <w:szCs w:val="32"/>
          <w:highlight w:val="none"/>
          <w:lang w:val="en-US" w:eastAsia="zh-CN"/>
        </w:rPr>
        <w:t>必要的</w:t>
      </w:r>
      <w:r>
        <w:rPr>
          <w:rFonts w:hint="eastAsia" w:ascii="仿宋_GB2312" w:hAnsi="仿宋_GB2312" w:eastAsia="仿宋_GB2312" w:cs="仿宋_GB2312"/>
          <w:b w:val="0"/>
          <w:bCs w:val="0"/>
          <w:color w:val="auto"/>
          <w:kern w:val="0"/>
          <w:sz w:val="32"/>
          <w:szCs w:val="32"/>
          <w:highlight w:val="none"/>
        </w:rPr>
        <w:t>仪器设备等。</w:t>
      </w:r>
    </w:p>
    <w:p>
      <w:pPr>
        <w:adjustRightInd w:val="0"/>
        <w:snapToGrid w:val="0"/>
        <w:spacing w:line="568" w:lineRule="exact"/>
        <w:ind w:firstLine="643" w:firstLineChars="200"/>
        <w:rPr>
          <w:rFonts w:hint="eastAsia" w:ascii="仿宋_GB2312" w:hAnsi="仿宋_GB2312" w:eastAsia="仿宋_GB2312" w:cs="仿宋_GB2312"/>
          <w:b w:val="0"/>
          <w:bCs w:val="0"/>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b w:val="0"/>
          <w:bCs w:val="0"/>
          <w:color w:val="auto"/>
          <w:kern w:val="0"/>
          <w:sz w:val="32"/>
          <w:szCs w:val="32"/>
          <w:highlight w:val="none"/>
        </w:rPr>
        <w:t>项目已列入《全国动植物保护能力提升工程建设规划（2017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b w:val="0"/>
          <w:bCs w:val="0"/>
          <w:color w:val="auto"/>
          <w:kern w:val="0"/>
          <w:sz w:val="32"/>
          <w:szCs w:val="32"/>
          <w:highlight w:val="none"/>
        </w:rPr>
        <w:t>2025年）》</w:t>
      </w:r>
      <w:r>
        <w:rPr>
          <w:rFonts w:hint="eastAsia" w:ascii="仿宋_GB2312" w:hAnsi="仿宋_GB2312" w:eastAsia="仿宋_GB2312" w:cs="仿宋_GB2312"/>
          <w:b w:val="0"/>
          <w:bCs w:val="0"/>
          <w:color w:val="auto"/>
          <w:kern w:val="0"/>
          <w:sz w:val="32"/>
          <w:szCs w:val="32"/>
          <w:highlight w:val="none"/>
          <w:lang w:eastAsia="zh-CN"/>
        </w:rPr>
        <w:t>。</w:t>
      </w:r>
      <w:r>
        <w:rPr>
          <w:rFonts w:hint="eastAsia" w:ascii="仿宋_GB2312" w:hAnsi="仿宋_GB2312" w:eastAsia="仿宋_GB2312" w:cs="仿宋_GB2312"/>
          <w:b w:val="0"/>
          <w:bCs w:val="0"/>
          <w:color w:val="auto"/>
          <w:kern w:val="0"/>
          <w:sz w:val="32"/>
          <w:szCs w:val="32"/>
          <w:highlight w:val="none"/>
        </w:rPr>
        <w:t>部直属单位限报</w:t>
      </w:r>
      <w:r>
        <w:rPr>
          <w:rFonts w:hint="eastAsia" w:ascii="仿宋_GB2312" w:hAnsi="仿宋_GB2312" w:eastAsia="仿宋_GB2312" w:cs="仿宋_GB2312"/>
          <w:b w:val="0"/>
          <w:bCs w:val="0"/>
          <w:color w:val="auto"/>
          <w:kern w:val="0"/>
          <w:sz w:val="32"/>
          <w:szCs w:val="32"/>
          <w:highlight w:val="none"/>
          <w:lang w:val="en-US" w:eastAsia="zh-CN"/>
        </w:rPr>
        <w:t>1</w:t>
      </w:r>
      <w:r>
        <w:rPr>
          <w:rFonts w:hint="eastAsia" w:ascii="仿宋_GB2312" w:hAnsi="仿宋_GB2312" w:eastAsia="仿宋_GB2312" w:cs="仿宋_GB2312"/>
          <w:b w:val="0"/>
          <w:bCs w:val="0"/>
          <w:color w:val="auto"/>
          <w:kern w:val="0"/>
          <w:sz w:val="32"/>
          <w:szCs w:val="32"/>
          <w:highlight w:val="none"/>
        </w:rPr>
        <w:t>个。</w:t>
      </w:r>
    </w:p>
    <w:p>
      <w:pPr>
        <w:adjustRightInd w:val="0"/>
        <w:snapToGrid w:val="0"/>
        <w:spacing w:line="568" w:lineRule="exact"/>
        <w:ind w:firstLine="643" w:firstLineChars="200"/>
        <w:rPr>
          <w:rFonts w:hint="eastAsia" w:ascii="仿宋_GB2312" w:hAnsi="仿宋_GB2312" w:eastAsia="仿宋_GB2312" w:cs="仿宋_GB2312"/>
          <w:b w:val="0"/>
          <w:bCs w:val="0"/>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b w:val="0"/>
          <w:bCs w:val="0"/>
          <w:color w:val="auto"/>
          <w:kern w:val="0"/>
          <w:sz w:val="32"/>
          <w:szCs w:val="32"/>
          <w:highlight w:val="none"/>
          <w:lang w:val="en-US" w:eastAsia="zh-CN"/>
        </w:rPr>
        <w:t>单个</w:t>
      </w:r>
      <w:r>
        <w:rPr>
          <w:rFonts w:hint="eastAsia" w:ascii="仿宋_GB2312" w:hAnsi="仿宋_GB2312" w:eastAsia="仿宋_GB2312" w:cs="仿宋_GB2312"/>
          <w:b w:val="0"/>
          <w:bCs w:val="0"/>
          <w:color w:val="auto"/>
          <w:kern w:val="0"/>
          <w:sz w:val="32"/>
          <w:szCs w:val="32"/>
          <w:highlight w:val="none"/>
        </w:rPr>
        <w:t>项目总投资不超过1.5亿元，全部为中央投资。</w:t>
      </w:r>
    </w:p>
    <w:p>
      <w:pPr>
        <w:keepNext w:val="0"/>
        <w:keepLines w:val="0"/>
        <w:pageBreakBefore w:val="0"/>
        <w:widowControl w:val="0"/>
        <w:kinsoku/>
        <w:wordWrap/>
        <w:overflowPunct/>
        <w:topLinePunct w:val="0"/>
        <w:autoSpaceDE/>
        <w:autoSpaceDN/>
        <w:bidi w:val="0"/>
        <w:adjustRightInd w:val="0"/>
        <w:snapToGrid w:val="0"/>
        <w:spacing w:line="568" w:lineRule="exact"/>
        <w:ind w:firstLine="640" w:firstLineChars="200"/>
        <w:textAlignment w:val="auto"/>
        <w:rPr>
          <w:rFonts w:hint="eastAsia" w:ascii="黑体" w:hAnsi="黑体" w:eastAsia="黑体" w:cs="黑体"/>
          <w:b w:val="0"/>
          <w:bCs w:val="0"/>
          <w:color w:val="auto"/>
          <w:kern w:val="0"/>
          <w:sz w:val="32"/>
          <w:szCs w:val="32"/>
          <w:highlight w:val="none"/>
        </w:rPr>
      </w:pPr>
      <w:r>
        <w:rPr>
          <w:rFonts w:hint="eastAsia" w:ascii="黑体" w:hAnsi="黑体" w:eastAsia="黑体" w:cs="黑体"/>
          <w:b w:val="0"/>
          <w:bCs w:val="0"/>
          <w:color w:val="auto"/>
          <w:kern w:val="0"/>
          <w:sz w:val="32"/>
          <w:szCs w:val="32"/>
          <w:highlight w:val="none"/>
        </w:rPr>
        <w:t>三、植物保护能力提升工程项目</w:t>
      </w:r>
    </w:p>
    <w:p>
      <w:pPr>
        <w:keepNext w:val="0"/>
        <w:keepLines w:val="0"/>
        <w:pageBreakBefore w:val="0"/>
        <w:widowControl w:val="0"/>
        <w:kinsoku/>
        <w:wordWrap/>
        <w:overflowPunct/>
        <w:topLinePunct w:val="0"/>
        <w:autoSpaceDE/>
        <w:autoSpaceDN/>
        <w:bidi w:val="0"/>
        <w:adjustRightInd w:val="0"/>
        <w:snapToGrid w:val="0"/>
        <w:spacing w:line="568" w:lineRule="exact"/>
        <w:ind w:firstLine="640" w:firstLineChars="200"/>
        <w:textAlignment w:val="auto"/>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（一）全国农作物病虫疫情监测分中心（省级）田间监测点</w:t>
      </w:r>
    </w:p>
    <w:p>
      <w:pPr>
        <w:adjustRightInd w:val="0"/>
        <w:snapToGrid w:val="0"/>
        <w:spacing w:line="568"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在农作物重大病虫发生源头区、重大植物疫情阻截带、粮食作物主产区和特色作物优势产区，以长期承担全国农作物病虫疫情监测任务的县区为重点，兼顾当地主导产业发展，选择县级农业植保植检机构技术力量较强的县，按丘陵区每5万亩、平原区每10万亩建设1个监测站点的标准，新建或改建一批农作物病虫疫情田间监测点。每县建设监测点数量原则上不少于4个、不超过10个。</w:t>
      </w:r>
    </w:p>
    <w:p>
      <w:pPr>
        <w:adjustRightInd w:val="0"/>
        <w:snapToGrid w:val="0"/>
        <w:spacing w:line="568" w:lineRule="exact"/>
        <w:ind w:firstLine="643" w:firstLineChars="200"/>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按照“聚点成网”“互联网+”的总体要求，加强田间自动化、智能化监测站点和信息化平台建设，完善全国农作物病虫疫情监测网络体系，提升重大病虫疫情监测预警能力。新建或改建农作物病虫疫情田间监测点主要配备自动</w:t>
      </w:r>
      <w:r>
        <w:rPr>
          <w:rFonts w:hint="eastAsia" w:ascii="仿宋_GB2312" w:hAnsi="仿宋_GB2312" w:cs="仿宋_GB2312"/>
          <w:color w:val="auto"/>
          <w:kern w:val="0"/>
          <w:sz w:val="32"/>
          <w:szCs w:val="32"/>
          <w:highlight w:val="none"/>
          <w:lang w:eastAsia="zh-CN"/>
        </w:rPr>
        <w:t>（智能）</w:t>
      </w:r>
      <w:r>
        <w:rPr>
          <w:rFonts w:hint="eastAsia" w:ascii="仿宋_GB2312" w:hAnsi="仿宋_GB2312" w:eastAsia="仿宋_GB2312" w:cs="仿宋_GB2312"/>
          <w:color w:val="auto"/>
          <w:kern w:val="0"/>
          <w:sz w:val="32"/>
          <w:szCs w:val="32"/>
          <w:highlight w:val="none"/>
        </w:rPr>
        <w:t>虫情测报灯、</w:t>
      </w:r>
      <w:r>
        <w:rPr>
          <w:rFonts w:hint="eastAsia" w:ascii="仿宋_GB2312" w:hAnsi="仿宋_GB2312" w:cs="仿宋_GB2312"/>
          <w:color w:val="auto"/>
          <w:kern w:val="0"/>
          <w:sz w:val="32"/>
          <w:szCs w:val="32"/>
          <w:highlight w:val="none"/>
          <w:lang w:eastAsia="zh-CN"/>
        </w:rPr>
        <w:t>（自动计数）</w:t>
      </w:r>
      <w:r>
        <w:rPr>
          <w:rFonts w:hint="eastAsia" w:ascii="仿宋_GB2312" w:hAnsi="仿宋_GB2312" w:eastAsia="仿宋_GB2312" w:cs="仿宋_GB2312"/>
          <w:color w:val="auto"/>
          <w:kern w:val="0"/>
          <w:sz w:val="32"/>
          <w:szCs w:val="32"/>
          <w:highlight w:val="none"/>
        </w:rPr>
        <w:t>性诱监测诱捕器、病虫观测场远程实时监测设备、田间可移动智能监测调查工具等数据传输、汇总、分析软硬件设施设备,以及田间调查交通工具。建设县级病虫疫情信息化处理系统,完善省级病虫疫情信息调度指挥平台。</w:t>
      </w:r>
    </w:p>
    <w:p>
      <w:pPr>
        <w:adjustRightInd w:val="0"/>
        <w:snapToGrid w:val="0"/>
        <w:spacing w:line="568" w:lineRule="exact"/>
        <w:ind w:firstLine="643" w:firstLineChars="200"/>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全国农作物病虫疫情监测分中心（省级）田间监测点项目由省级农业农村部门植保植检机构打捆申报和组织实施，参与建设的县区应落实建设地点并经当地相关部门同意。</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68"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每个农作物病虫疫情监测分中心（省级）田间监测点建设项目县中央投资东、中、西部、东北地区分别不超过总投资的60%、80%、90%、90%，且最多不超过</w:t>
      </w:r>
      <w:r>
        <w:rPr>
          <w:rFonts w:hint="eastAsia" w:ascii="仿宋_GB2312" w:hAnsi="仿宋_GB2312" w:eastAsia="仿宋_GB2312" w:cs="仿宋_GB2312"/>
          <w:color w:val="auto"/>
          <w:kern w:val="0"/>
          <w:sz w:val="32"/>
          <w:szCs w:val="32"/>
          <w:highlight w:val="none"/>
          <w:lang w:val="en-US" w:eastAsia="zh-CN"/>
        </w:rPr>
        <w:t>3</w:t>
      </w:r>
      <w:r>
        <w:rPr>
          <w:rFonts w:hint="eastAsia" w:ascii="仿宋_GB2312" w:hAnsi="仿宋_GB2312" w:eastAsia="仿宋_GB2312" w:cs="仿宋_GB2312"/>
          <w:color w:val="auto"/>
          <w:kern w:val="0"/>
          <w:sz w:val="32"/>
          <w:szCs w:val="32"/>
          <w:highlight w:val="none"/>
        </w:rPr>
        <w:t>00万元。每个田间监测点中央投资控制数，改建监测点25万元，新建监测点35万元，重点监测点每个再增加30万元，每个县区信息处理平台</w:t>
      </w:r>
      <w:r>
        <w:rPr>
          <w:rFonts w:hint="eastAsia" w:ascii="仿宋_GB2312" w:hAnsi="仿宋_GB2312" w:eastAsia="仿宋_GB2312" w:cs="仿宋_GB2312"/>
          <w:color w:val="auto"/>
          <w:kern w:val="0"/>
          <w:sz w:val="32"/>
          <w:szCs w:val="32"/>
          <w:highlight w:val="none"/>
          <w:lang w:val="en-US" w:eastAsia="zh-CN"/>
        </w:rPr>
        <w:t>3</w:t>
      </w:r>
      <w:r>
        <w:rPr>
          <w:rFonts w:hint="eastAsia" w:ascii="仿宋_GB2312" w:hAnsi="仿宋_GB2312" w:eastAsia="仿宋_GB2312" w:cs="仿宋_GB2312"/>
          <w:color w:val="auto"/>
          <w:kern w:val="0"/>
          <w:sz w:val="32"/>
          <w:szCs w:val="32"/>
          <w:highlight w:val="none"/>
        </w:rPr>
        <w:t>0万元。</w:t>
      </w:r>
    </w:p>
    <w:p>
      <w:pPr>
        <w:adjustRightInd w:val="0"/>
        <w:snapToGrid w:val="0"/>
        <w:spacing w:line="568" w:lineRule="exact"/>
        <w:ind w:firstLine="640" w:firstLineChars="200"/>
        <w:rPr>
          <w:rFonts w:hint="eastAsia" w:ascii="楷体_GB2312" w:hAnsi="楷体_GB2312" w:eastAsia="楷体_GB2312" w:cs="楷体_GB2312"/>
          <w:b w:val="0"/>
          <w:bCs w:val="0"/>
          <w:color w:val="0D0D0D"/>
          <w:kern w:val="0"/>
          <w:sz w:val="32"/>
          <w:szCs w:val="32"/>
          <w:highlight w:val="none"/>
        </w:rPr>
      </w:pPr>
      <w:r>
        <w:rPr>
          <w:rFonts w:hint="eastAsia" w:ascii="楷体_GB2312" w:hAnsi="楷体_GB2312" w:eastAsia="楷体_GB2312" w:cs="楷体_GB2312"/>
          <w:b w:val="0"/>
          <w:bCs w:val="0"/>
          <w:color w:val="auto"/>
          <w:kern w:val="0"/>
          <w:sz w:val="32"/>
          <w:szCs w:val="32"/>
          <w:highlight w:val="none"/>
        </w:rPr>
        <w:t>（二）重大病虫疫情区域</w:t>
      </w:r>
      <w:r>
        <w:rPr>
          <w:rFonts w:hint="eastAsia" w:ascii="楷体_GB2312" w:hAnsi="楷体_GB2312" w:eastAsia="楷体_GB2312" w:cs="楷体_GB2312"/>
          <w:b w:val="0"/>
          <w:bCs w:val="0"/>
          <w:color w:val="0D0D0D"/>
          <w:kern w:val="0"/>
          <w:sz w:val="32"/>
          <w:szCs w:val="32"/>
          <w:highlight w:val="none"/>
        </w:rPr>
        <w:t>应急防控设施及物资储备库</w:t>
      </w:r>
    </w:p>
    <w:p>
      <w:pPr>
        <w:adjustRightInd w:val="0"/>
        <w:snapToGrid w:val="0"/>
        <w:spacing w:line="568"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1.建设要求。</w:t>
      </w:r>
      <w:r>
        <w:rPr>
          <w:rFonts w:hint="eastAsia" w:ascii="仿宋_GB2312" w:hAnsi="仿宋_GB2312" w:eastAsia="仿宋_GB2312" w:cs="仿宋_GB2312"/>
          <w:color w:val="0D0D0D"/>
          <w:kern w:val="0"/>
          <w:sz w:val="32"/>
          <w:szCs w:val="32"/>
          <w:highlight w:val="none"/>
        </w:rPr>
        <w:t>以粮食主产区、重大病虫发生源头区、迁飞流行区、疫情阻截带等为重点，突出边境地区、民族地区等特殊地区，加强应急防控设施设备和物资储备能力建设，提升区域联防联控、应急防控快速反应能力。按照耕地面积1500</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0D0D0D"/>
          <w:kern w:val="0"/>
          <w:sz w:val="32"/>
          <w:szCs w:val="32"/>
          <w:highlight w:val="none"/>
        </w:rPr>
        <w:t>2000万亩建设一个的标准，原则上大省不超过4</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0D0D0D"/>
          <w:kern w:val="0"/>
          <w:sz w:val="32"/>
          <w:szCs w:val="32"/>
          <w:highlight w:val="none"/>
        </w:rPr>
        <w:t>5个，小省按2</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0D0D0D"/>
          <w:kern w:val="0"/>
          <w:sz w:val="32"/>
          <w:szCs w:val="32"/>
          <w:highlight w:val="none"/>
        </w:rPr>
        <w:t>3个建设。</w:t>
      </w:r>
      <w:r>
        <w:rPr>
          <w:rFonts w:hint="eastAsia" w:ascii="仿宋_GB2312" w:hAnsi="仿宋_GB2312" w:eastAsia="仿宋_GB2312" w:cs="仿宋_GB2312"/>
          <w:color w:val="auto"/>
          <w:kern w:val="0"/>
          <w:sz w:val="32"/>
          <w:szCs w:val="32"/>
          <w:highlight w:val="none"/>
        </w:rPr>
        <w:t>该项目由省级农业农村部门植保植检机构打捆申报和组织实</w:t>
      </w:r>
      <w:r>
        <w:rPr>
          <w:rFonts w:hint="eastAsia" w:ascii="仿宋_GB2312" w:hAnsi="仿宋_GB2312" w:eastAsia="仿宋_GB2312" w:cs="仿宋_GB2312"/>
          <w:snapToGrid w:val="0"/>
          <w:color w:val="auto"/>
          <w:spacing w:val="-6"/>
          <w:kern w:val="0"/>
          <w:sz w:val="32"/>
          <w:szCs w:val="32"/>
          <w:highlight w:val="none"/>
        </w:rPr>
        <w:t>施，项目所在县区植保机构、病虫害防治社会化服务组织参与建设。</w:t>
      </w:r>
    </w:p>
    <w:p>
      <w:pPr>
        <w:adjustRightInd w:val="0"/>
        <w:snapToGrid w:val="0"/>
        <w:spacing w:line="568" w:lineRule="exact"/>
        <w:ind w:firstLine="643" w:firstLineChars="200"/>
        <w:rPr>
          <w:rFonts w:hint="eastAsia" w:ascii="仿宋_GB2312" w:hAnsi="仿宋_GB2312" w:eastAsia="仿宋_GB2312" w:cs="仿宋_GB2312"/>
          <w:b/>
          <w:color w:val="0D0D0D"/>
          <w:kern w:val="0"/>
          <w:sz w:val="32"/>
          <w:szCs w:val="32"/>
          <w:highlight w:val="none"/>
        </w:rPr>
      </w:pPr>
      <w:r>
        <w:rPr>
          <w:rFonts w:hint="eastAsia" w:ascii="仿宋_GB2312" w:hAnsi="仿宋_GB2312" w:eastAsia="仿宋_GB2312" w:cs="仿宋_GB2312"/>
          <w:b/>
          <w:color w:val="auto"/>
          <w:kern w:val="0"/>
          <w:sz w:val="32"/>
          <w:szCs w:val="32"/>
          <w:highlight w:val="none"/>
        </w:rPr>
        <w:t>2.建设内容。</w:t>
      </w:r>
      <w:r>
        <w:rPr>
          <w:rFonts w:hint="eastAsia" w:ascii="仿宋_GB2312" w:hAnsi="仿宋_GB2312" w:eastAsia="仿宋_GB2312" w:cs="仿宋_GB2312"/>
          <w:color w:val="0D0D0D"/>
          <w:kern w:val="0"/>
          <w:sz w:val="32"/>
          <w:szCs w:val="32"/>
          <w:highlight w:val="none"/>
        </w:rPr>
        <w:t>重点建设物资储备库2000平方米，配备自走式喷杆喷雾机、航空植保机械等大中型防治装备，配套转运运输、远程指挥调度平台和机械维修设施设备，建设药械、农药运输工具等物资储备库。</w:t>
      </w:r>
    </w:p>
    <w:p>
      <w:pPr>
        <w:adjustRightInd w:val="0"/>
        <w:snapToGrid w:val="0"/>
        <w:spacing w:line="568" w:lineRule="exact"/>
        <w:ind w:firstLine="643" w:firstLineChars="200"/>
        <w:rPr>
          <w:rFonts w:hint="eastAsia" w:ascii="仿宋_GB2312" w:hAnsi="仿宋_GB2312" w:eastAsia="仿宋_GB2312" w:cs="仿宋_GB2312"/>
          <w:b/>
          <w:color w:val="0D0D0D"/>
          <w:kern w:val="0"/>
          <w:sz w:val="32"/>
          <w:szCs w:val="32"/>
          <w:highlight w:val="none"/>
        </w:rPr>
      </w:pPr>
      <w:r>
        <w:rPr>
          <w:rFonts w:hint="eastAsia" w:ascii="仿宋_GB2312" w:hAnsi="仿宋_GB2312" w:eastAsia="仿宋_GB2312" w:cs="仿宋_GB2312"/>
          <w:b/>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该项目由省级农业农村部门植保植检机构打捆申报和组织实施，落实建设用地，协调省级财政、组织相关项目实施县区和病虫害防治社会化服务组织等落实配套资金。</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68" w:lineRule="exact"/>
        <w:ind w:firstLine="643" w:firstLineChars="200"/>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color w:val="auto"/>
          <w:kern w:val="0"/>
          <w:sz w:val="32"/>
          <w:szCs w:val="32"/>
          <w:highlight w:val="none"/>
        </w:rPr>
        <w:t>4.中央投资规模。</w:t>
      </w:r>
      <w:r>
        <w:rPr>
          <w:rFonts w:hint="eastAsia" w:ascii="仿宋_GB2312" w:hAnsi="仿宋_GB2312" w:eastAsia="仿宋_GB2312" w:cs="仿宋_GB2312"/>
          <w:bCs/>
          <w:color w:val="auto"/>
          <w:kern w:val="0"/>
          <w:sz w:val="32"/>
          <w:szCs w:val="32"/>
          <w:highlight w:val="none"/>
        </w:rPr>
        <w:t>重大病虫疫情区域应急防控设施</w:t>
      </w:r>
      <w:r>
        <w:rPr>
          <w:rFonts w:hint="eastAsia" w:ascii="仿宋_GB2312" w:hAnsi="仿宋_GB2312" w:eastAsia="仿宋_GB2312" w:cs="仿宋_GB2312"/>
          <w:bCs/>
          <w:color w:val="0D0D0D"/>
          <w:kern w:val="0"/>
          <w:sz w:val="32"/>
          <w:szCs w:val="32"/>
          <w:highlight w:val="none"/>
        </w:rPr>
        <w:t>及</w:t>
      </w:r>
      <w:r>
        <w:rPr>
          <w:rFonts w:hint="eastAsia" w:ascii="仿宋_GB2312" w:hAnsi="仿宋_GB2312" w:eastAsia="仿宋_GB2312" w:cs="仿宋_GB2312"/>
          <w:color w:val="0D0D0D"/>
          <w:kern w:val="0"/>
          <w:sz w:val="32"/>
          <w:szCs w:val="32"/>
          <w:highlight w:val="none"/>
        </w:rPr>
        <w:t>物资储备库每个项目中央投资不超过2000万元，地方财政或社会资本配套投资不低于中央投资。</w:t>
      </w:r>
    </w:p>
    <w:p>
      <w:pPr>
        <w:adjustRightInd w:val="0"/>
        <w:snapToGrid w:val="0"/>
        <w:spacing w:line="568" w:lineRule="exact"/>
        <w:ind w:firstLine="640" w:firstLineChars="200"/>
        <w:rPr>
          <w:rFonts w:hint="eastAsia" w:ascii="楷体_GB2312" w:hAnsi="楷体_GB2312" w:eastAsia="楷体_GB2312" w:cs="楷体_GB2312"/>
          <w:b w:val="0"/>
          <w:bCs w:val="0"/>
          <w:color w:val="0D0D0D"/>
          <w:kern w:val="0"/>
          <w:sz w:val="32"/>
          <w:szCs w:val="32"/>
          <w:highlight w:val="none"/>
        </w:rPr>
      </w:pPr>
      <w:r>
        <w:rPr>
          <w:rFonts w:hint="eastAsia" w:ascii="楷体_GB2312" w:hAnsi="楷体_GB2312" w:eastAsia="楷体_GB2312" w:cs="楷体_GB2312"/>
          <w:b w:val="0"/>
          <w:bCs w:val="0"/>
          <w:color w:val="0D0D0D"/>
          <w:kern w:val="0"/>
          <w:sz w:val="32"/>
          <w:szCs w:val="32"/>
          <w:highlight w:val="none"/>
        </w:rPr>
        <w:t>（三）天敌微生物等绿色防控产品生产繁育基地</w:t>
      </w:r>
    </w:p>
    <w:p>
      <w:pPr>
        <w:adjustRightInd w:val="0"/>
        <w:snapToGrid w:val="0"/>
        <w:spacing w:line="568" w:lineRule="exact"/>
        <w:ind w:firstLine="643" w:firstLineChars="200"/>
        <w:rPr>
          <w:rFonts w:hint="eastAsia" w:ascii="仿宋_GB2312" w:hAnsi="仿宋_GB2312" w:eastAsia="仿宋_GB2312" w:cs="仿宋_GB2312"/>
          <w:color w:val="0D0D0D"/>
          <w:kern w:val="0"/>
          <w:sz w:val="32"/>
          <w:szCs w:val="32"/>
          <w:highlight w:val="none"/>
        </w:rPr>
      </w:pPr>
      <w:r>
        <w:rPr>
          <w:rFonts w:hint="eastAsia" w:ascii="仿宋_GB2312" w:hAnsi="仿宋_GB2312" w:eastAsia="仿宋_GB2312" w:cs="仿宋_GB2312"/>
          <w:b/>
          <w:color w:val="auto"/>
          <w:kern w:val="0"/>
          <w:sz w:val="32"/>
          <w:szCs w:val="32"/>
          <w:highlight w:val="none"/>
        </w:rPr>
        <w:t>1.建设要求。</w:t>
      </w:r>
      <w:r>
        <w:rPr>
          <w:rFonts w:hint="eastAsia" w:ascii="仿宋_GB2312" w:hAnsi="仿宋_GB2312" w:eastAsia="仿宋_GB2312" w:cs="仿宋_GB2312"/>
          <w:color w:val="0D0D0D"/>
          <w:kern w:val="0"/>
          <w:sz w:val="32"/>
          <w:szCs w:val="32"/>
          <w:highlight w:val="none"/>
        </w:rPr>
        <w:t>围绕提升绿色防控保障能力，推进农药减量化，重点在大宗水果、城市蔬菜、茶叶主产区以及粮食作物主产区，选择有基础、有优势的企业、科研、教学单位进行投资建设天敌及授粉昆虫扩繁基地、微生物（生物农药）扩繁基地、理化诱控产品生产</w:t>
      </w:r>
      <w:r>
        <w:rPr>
          <w:rFonts w:hint="eastAsia" w:ascii="仿宋_GB2312" w:hAnsi="仿宋_GB2312" w:eastAsia="仿宋_GB2312" w:cs="仿宋_GB2312"/>
          <w:bCs/>
          <w:color w:val="0D0D0D"/>
          <w:kern w:val="0"/>
          <w:sz w:val="32"/>
          <w:szCs w:val="32"/>
          <w:highlight w:val="none"/>
        </w:rPr>
        <w:t>基地。</w:t>
      </w:r>
      <w:r>
        <w:rPr>
          <w:rFonts w:hint="eastAsia" w:ascii="仿宋_GB2312" w:hAnsi="仿宋_GB2312" w:eastAsia="仿宋_GB2312" w:cs="仿宋_GB2312"/>
          <w:color w:val="0D0D0D"/>
          <w:kern w:val="0"/>
          <w:sz w:val="32"/>
          <w:szCs w:val="32"/>
          <w:highlight w:val="none"/>
        </w:rPr>
        <w:t>天敌及授粉昆虫扩繁基地，每个年产能覆盖面积10万亩以上；微生物（生物农药）扩繁基地、理化诱控产品生产</w:t>
      </w:r>
      <w:r>
        <w:rPr>
          <w:rFonts w:hint="eastAsia" w:ascii="仿宋_GB2312" w:hAnsi="仿宋_GB2312" w:eastAsia="仿宋_GB2312" w:cs="仿宋_GB2312"/>
          <w:bCs/>
          <w:color w:val="0D0D0D"/>
          <w:kern w:val="0"/>
          <w:sz w:val="32"/>
          <w:szCs w:val="32"/>
          <w:highlight w:val="none"/>
        </w:rPr>
        <w:t>基地</w:t>
      </w:r>
      <w:r>
        <w:rPr>
          <w:rFonts w:hint="eastAsia" w:ascii="仿宋_GB2312" w:hAnsi="仿宋_GB2312" w:eastAsia="仿宋_GB2312" w:cs="仿宋_GB2312"/>
          <w:color w:val="0D0D0D"/>
          <w:kern w:val="0"/>
          <w:sz w:val="32"/>
          <w:szCs w:val="32"/>
          <w:highlight w:val="none"/>
        </w:rPr>
        <w:t>，每个年产能覆盖面积100万亩以上。为绿色防控提供产品和技术支撑，促进农药减施增效。</w:t>
      </w:r>
    </w:p>
    <w:p>
      <w:pPr>
        <w:adjustRightInd w:val="0"/>
        <w:snapToGrid w:val="0"/>
        <w:spacing w:line="568" w:lineRule="exact"/>
        <w:ind w:firstLine="643" w:firstLineChars="200"/>
        <w:rPr>
          <w:rFonts w:hint="eastAsia" w:ascii="仿宋_GB2312" w:hAnsi="仿宋_GB2312" w:eastAsia="仿宋_GB2312" w:cs="仿宋_GB2312"/>
          <w:color w:val="0D0D0D"/>
          <w:kern w:val="0"/>
          <w:sz w:val="32"/>
          <w:szCs w:val="32"/>
          <w:highlight w:val="none"/>
        </w:rPr>
      </w:pPr>
      <w:r>
        <w:rPr>
          <w:rFonts w:hint="eastAsia" w:ascii="仿宋_GB2312" w:hAnsi="仿宋_GB2312" w:eastAsia="仿宋_GB2312" w:cs="仿宋_GB2312"/>
          <w:b/>
          <w:color w:val="auto"/>
          <w:kern w:val="0"/>
          <w:sz w:val="32"/>
          <w:szCs w:val="32"/>
          <w:highlight w:val="none"/>
        </w:rPr>
        <w:t>2.建设内容。</w:t>
      </w:r>
      <w:r>
        <w:rPr>
          <w:rFonts w:hint="eastAsia" w:ascii="仿宋_GB2312" w:hAnsi="仿宋_GB2312" w:eastAsia="仿宋_GB2312" w:cs="仿宋_GB2312"/>
          <w:color w:val="0D0D0D"/>
          <w:kern w:val="0"/>
          <w:sz w:val="32"/>
          <w:szCs w:val="32"/>
          <w:highlight w:val="none"/>
        </w:rPr>
        <w:t>重点配备生防天敌扩繁、储运、运输、释放及质量检测等设施设备，理化诱控产品或测报专用工具生产和组装设施设备等。天敌及授粉昆虫扩繁基地，主要配备繁殖天敌所需设施和田间释放专用设备，冷链储运设备和质量检测设备，改扩建扩繁车间、专用储备库。微生物（生物农药）扩繁基地，主要配备菌株活性提纯、质量检测、产品分装、环境自控等设施设备，以及生产线扩容和冷链储运设备。理化诱控产品生产</w:t>
      </w:r>
      <w:r>
        <w:rPr>
          <w:rFonts w:hint="eastAsia" w:ascii="仿宋_GB2312" w:hAnsi="仿宋_GB2312" w:eastAsia="仿宋_GB2312" w:cs="仿宋_GB2312"/>
          <w:bCs/>
          <w:color w:val="0D0D0D"/>
          <w:kern w:val="0"/>
          <w:sz w:val="32"/>
          <w:szCs w:val="32"/>
          <w:highlight w:val="none"/>
        </w:rPr>
        <w:t>基地（含农作物病虫害测报专业工具研发生产基地）</w:t>
      </w:r>
      <w:r>
        <w:rPr>
          <w:rFonts w:hint="eastAsia" w:ascii="仿宋_GB2312" w:hAnsi="仿宋_GB2312" w:eastAsia="仿宋_GB2312" w:cs="仿宋_GB2312"/>
          <w:color w:val="0D0D0D"/>
          <w:kern w:val="0"/>
          <w:sz w:val="32"/>
          <w:szCs w:val="32"/>
          <w:highlight w:val="none"/>
        </w:rPr>
        <w:t>，主要改扩建</w:t>
      </w:r>
      <w:r>
        <w:rPr>
          <w:rFonts w:hint="eastAsia" w:ascii="仿宋_GB2312" w:hAnsi="仿宋_GB2312" w:eastAsia="仿宋_GB2312" w:cs="仿宋_GB2312"/>
          <w:bCs/>
          <w:color w:val="0D0D0D"/>
          <w:kern w:val="0"/>
          <w:sz w:val="32"/>
          <w:szCs w:val="32"/>
          <w:highlight w:val="none"/>
        </w:rPr>
        <w:t>实验室、实验场圃和中试生产线，配备灯诱、性诱、色诱、食诱等</w:t>
      </w:r>
      <w:r>
        <w:rPr>
          <w:rFonts w:hint="eastAsia" w:ascii="仿宋_GB2312" w:hAnsi="仿宋_GB2312" w:eastAsia="仿宋_GB2312" w:cs="仿宋_GB2312"/>
          <w:color w:val="0D0D0D"/>
          <w:kern w:val="0"/>
          <w:sz w:val="32"/>
          <w:szCs w:val="32"/>
          <w:highlight w:val="none"/>
        </w:rPr>
        <w:t>生产、组装、调试等设施设备</w:t>
      </w:r>
      <w:r>
        <w:rPr>
          <w:rFonts w:hint="eastAsia" w:ascii="仿宋_GB2312" w:hAnsi="仿宋_GB2312" w:eastAsia="仿宋_GB2312" w:cs="仿宋_GB2312"/>
          <w:bCs/>
          <w:color w:val="0D0D0D"/>
          <w:kern w:val="0"/>
          <w:sz w:val="32"/>
          <w:szCs w:val="32"/>
          <w:highlight w:val="none"/>
        </w:rPr>
        <w:t>。</w:t>
      </w:r>
    </w:p>
    <w:p>
      <w:pPr>
        <w:adjustRightInd w:val="0"/>
        <w:snapToGrid w:val="0"/>
        <w:spacing w:line="568" w:lineRule="exact"/>
        <w:ind w:firstLine="643" w:firstLineChars="200"/>
        <w:rPr>
          <w:rFonts w:hint="eastAsia" w:ascii="仿宋_GB2312" w:hAnsi="仿宋_GB2312" w:eastAsia="仿宋_GB2312" w:cs="仿宋_GB2312"/>
          <w:b/>
          <w:color w:val="0D0D0D"/>
          <w:kern w:val="0"/>
          <w:sz w:val="32"/>
          <w:szCs w:val="32"/>
          <w:highlight w:val="none"/>
        </w:rPr>
      </w:pPr>
      <w:r>
        <w:rPr>
          <w:rFonts w:hint="eastAsia" w:ascii="仿宋_GB2312" w:hAnsi="仿宋_GB2312" w:eastAsia="仿宋_GB2312" w:cs="仿宋_GB2312"/>
          <w:b/>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天敌微生物等绿色防控产品生产繁育基地</w:t>
      </w:r>
      <w:r>
        <w:rPr>
          <w:rFonts w:hint="eastAsia" w:ascii="仿宋_GB2312" w:hAnsi="仿宋_GB2312" w:eastAsia="仿宋_GB2312" w:cs="仿宋_GB2312"/>
          <w:color w:val="0D0D0D"/>
          <w:kern w:val="0"/>
          <w:sz w:val="32"/>
          <w:szCs w:val="32"/>
          <w:highlight w:val="none"/>
        </w:rPr>
        <w:t>项目</w:t>
      </w:r>
      <w:r>
        <w:rPr>
          <w:rFonts w:hint="eastAsia" w:ascii="仿宋_GB2312" w:hAnsi="仿宋_GB2312" w:eastAsia="仿宋_GB2312" w:cs="仿宋_GB2312"/>
          <w:color w:val="auto"/>
          <w:kern w:val="0"/>
          <w:sz w:val="32"/>
          <w:szCs w:val="32"/>
          <w:highlight w:val="none"/>
        </w:rPr>
        <w:t>由省级农业农村部门植保植检机构把关审核和组织申报，承建的</w:t>
      </w:r>
      <w:r>
        <w:rPr>
          <w:rFonts w:hint="eastAsia" w:ascii="仿宋_GB2312" w:hAnsi="仿宋_GB2312" w:eastAsia="仿宋_GB2312" w:cs="仿宋_GB2312"/>
          <w:color w:val="0D0D0D"/>
          <w:kern w:val="0"/>
          <w:sz w:val="32"/>
          <w:szCs w:val="32"/>
          <w:highlight w:val="none"/>
        </w:rPr>
        <w:t>企业、科研、教学单位必须具备相关研发优势和生产基础，并能及时落实相关配套资金</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68" w:lineRule="exact"/>
        <w:ind w:firstLine="643" w:firstLineChars="200"/>
        <w:rPr>
          <w:rFonts w:hint="eastAsia" w:ascii="仿宋_GB2312" w:hAnsi="仿宋_GB2312" w:eastAsia="仿宋_GB2312" w:cs="仿宋_GB2312"/>
          <w:color w:val="0D0D0D"/>
          <w:kern w:val="0"/>
          <w:sz w:val="32"/>
          <w:szCs w:val="32"/>
          <w:highlight w:val="none"/>
        </w:rPr>
      </w:pPr>
      <w:r>
        <w:rPr>
          <w:rFonts w:hint="eastAsia" w:ascii="仿宋_GB2312" w:hAnsi="仿宋_GB2312" w:eastAsia="仿宋_GB2312" w:cs="仿宋_GB2312"/>
          <w:b/>
          <w:color w:val="auto"/>
          <w:kern w:val="0"/>
          <w:sz w:val="32"/>
          <w:szCs w:val="32"/>
          <w:highlight w:val="none"/>
        </w:rPr>
        <w:t>4.中央投资规模。</w:t>
      </w:r>
      <w:r>
        <w:rPr>
          <w:rFonts w:hint="eastAsia" w:ascii="仿宋_GB2312" w:hAnsi="仿宋_GB2312" w:eastAsia="仿宋_GB2312" w:cs="仿宋_GB2312"/>
          <w:color w:val="0D0D0D"/>
          <w:kern w:val="0"/>
          <w:sz w:val="32"/>
          <w:szCs w:val="32"/>
          <w:highlight w:val="none"/>
        </w:rPr>
        <w:t>天敌微生物等绿色防控产品生产繁育基地每个项目中央投资不超过500万元，</w:t>
      </w:r>
      <w:r>
        <w:rPr>
          <w:rFonts w:hint="eastAsia" w:ascii="仿宋_GB2312" w:hAnsi="仿宋_GB2312" w:eastAsia="仿宋_GB2312" w:cs="仿宋_GB2312"/>
          <w:bCs/>
          <w:color w:val="0D0D0D"/>
          <w:kern w:val="0"/>
          <w:sz w:val="32"/>
          <w:szCs w:val="32"/>
          <w:highlight w:val="none"/>
        </w:rPr>
        <w:t>承建单位配套投资不少于中央投资</w:t>
      </w:r>
      <w:r>
        <w:rPr>
          <w:rFonts w:hint="eastAsia" w:ascii="仿宋_GB2312" w:hAnsi="仿宋_GB2312" w:eastAsia="仿宋_GB2312" w:cs="仿宋_GB2312"/>
          <w:color w:val="0D0D0D"/>
          <w:kern w:val="0"/>
          <w:sz w:val="32"/>
          <w:szCs w:val="32"/>
          <w:highlight w:val="none"/>
        </w:rPr>
        <w:t>。</w:t>
      </w:r>
    </w:p>
    <w:p>
      <w:pPr>
        <w:adjustRightInd w:val="0"/>
        <w:snapToGrid w:val="0"/>
        <w:spacing w:line="568"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（四）迁飞性害虫雷达监测站</w:t>
      </w:r>
    </w:p>
    <w:p>
      <w:pPr>
        <w:adjustRightInd w:val="0"/>
        <w:snapToGrid w:val="0"/>
        <w:spacing w:line="568" w:lineRule="exact"/>
        <w:ind w:firstLine="643" w:firstLineChars="200"/>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color w:val="auto"/>
          <w:kern w:val="0"/>
          <w:sz w:val="32"/>
          <w:szCs w:val="32"/>
          <w:highlight w:val="none"/>
        </w:rPr>
        <w:t>1.建设要求。</w:t>
      </w:r>
      <w:r>
        <w:rPr>
          <w:rFonts w:hint="eastAsia" w:ascii="仿宋_GB2312" w:hAnsi="仿宋_GB2312" w:eastAsia="仿宋_GB2312" w:cs="仿宋_GB2312"/>
          <w:b w:val="0"/>
          <w:bCs/>
          <w:color w:val="auto"/>
          <w:kern w:val="0"/>
          <w:sz w:val="32"/>
          <w:szCs w:val="32"/>
          <w:highlight w:val="none"/>
        </w:rPr>
        <w:t>为提高草地贪夜蛾、稻飞虱、稻纵卷叶螟</w:t>
      </w:r>
      <w:r>
        <w:rPr>
          <w:rFonts w:hint="eastAsia" w:ascii="仿宋_GB2312" w:hAnsi="仿宋_GB2312" w:cs="仿宋_GB2312"/>
          <w:b w:val="0"/>
          <w:bCs/>
          <w:color w:val="auto"/>
          <w:kern w:val="0"/>
          <w:sz w:val="32"/>
          <w:szCs w:val="32"/>
          <w:highlight w:val="none"/>
          <w:lang w:val="en-US" w:eastAsia="zh-CN"/>
        </w:rPr>
        <w:t>粘虫</w:t>
      </w:r>
      <w:r>
        <w:rPr>
          <w:rFonts w:hint="eastAsia" w:ascii="仿宋_GB2312" w:hAnsi="仿宋_GB2312" w:cs="仿宋_GB2312"/>
          <w:b w:val="0"/>
          <w:bCs/>
          <w:color w:val="auto"/>
          <w:kern w:val="0"/>
          <w:sz w:val="32"/>
          <w:szCs w:val="32"/>
          <w:highlight w:val="none"/>
          <w:lang w:eastAsia="zh-CN"/>
        </w:rPr>
        <w:t>、棉铃虫、</w:t>
      </w:r>
      <w:r>
        <w:rPr>
          <w:rFonts w:hint="eastAsia" w:ascii="仿宋_GB2312" w:hAnsi="仿宋_GB2312" w:eastAsia="仿宋_GB2312" w:cs="仿宋_GB2312"/>
          <w:b w:val="0"/>
          <w:bCs/>
          <w:color w:val="auto"/>
          <w:kern w:val="0"/>
          <w:sz w:val="32"/>
          <w:szCs w:val="32"/>
          <w:highlight w:val="none"/>
        </w:rPr>
        <w:t>草地螟</w:t>
      </w:r>
      <w:r>
        <w:rPr>
          <w:rFonts w:hint="eastAsia" w:ascii="仿宋_GB2312" w:hAnsi="仿宋_GB2312" w:cs="仿宋_GB2312"/>
          <w:b w:val="0"/>
          <w:bCs/>
          <w:color w:val="auto"/>
          <w:kern w:val="0"/>
          <w:sz w:val="32"/>
          <w:szCs w:val="32"/>
          <w:highlight w:val="none"/>
          <w:lang w:eastAsia="zh-CN"/>
        </w:rPr>
        <w:t>、</w:t>
      </w:r>
      <w:r>
        <w:rPr>
          <w:rFonts w:hint="eastAsia" w:ascii="仿宋_GB2312" w:hAnsi="仿宋_GB2312" w:cs="仿宋_GB2312"/>
          <w:b w:val="0"/>
          <w:bCs/>
          <w:color w:val="auto"/>
          <w:kern w:val="0"/>
          <w:sz w:val="32"/>
          <w:szCs w:val="32"/>
          <w:highlight w:val="none"/>
          <w:lang w:val="en-US" w:eastAsia="zh-CN"/>
        </w:rPr>
        <w:t>飞蝗</w:t>
      </w:r>
      <w:r>
        <w:rPr>
          <w:rFonts w:hint="eastAsia" w:ascii="仿宋_GB2312" w:hAnsi="仿宋_GB2312" w:eastAsia="仿宋_GB2312" w:cs="仿宋_GB2312"/>
          <w:b w:val="0"/>
          <w:bCs/>
          <w:color w:val="auto"/>
          <w:kern w:val="0"/>
          <w:sz w:val="32"/>
          <w:szCs w:val="32"/>
          <w:highlight w:val="none"/>
        </w:rPr>
        <w:t>等迁飞性害虫空中实时监测预警能力，重点在华南、西南、东北、西北等边境地区以及长江流域、黄淮、华北至东北以及东南沿海等迁飞通道地区,投资建设迁飞性害虫雷达监测站。</w:t>
      </w:r>
    </w:p>
    <w:p>
      <w:pPr>
        <w:adjustRightInd w:val="0"/>
        <w:snapToGrid w:val="0"/>
        <w:spacing w:line="568"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各区域根据当地迁飞性害虫优势种类,配备垂直昆虫雷达、扫描昆虫雷达或双模式昆虫雷达,以及配套观测的电路、网络设备、高空测报灯、气象信息自动化采集设备、昆虫雷达回波数据解算工具和迁飞轨迹模拟预测系统等软硬件设施设备。</w:t>
      </w:r>
    </w:p>
    <w:p>
      <w:pPr>
        <w:adjustRightInd w:val="0"/>
        <w:snapToGrid w:val="0"/>
        <w:spacing w:line="568" w:lineRule="exact"/>
        <w:ind w:firstLine="643" w:firstLineChars="200"/>
        <w:rPr>
          <w:rFonts w:hint="eastAsia" w:ascii="仿宋_GB2312" w:hAnsi="仿宋_GB2312" w:eastAsia="仿宋_GB2312" w:cs="仿宋_GB2312"/>
          <w:b/>
          <w:color w:val="0D0D0D"/>
          <w:kern w:val="0"/>
          <w:sz w:val="32"/>
          <w:szCs w:val="32"/>
          <w:highlight w:val="none"/>
        </w:rPr>
      </w:pPr>
      <w:r>
        <w:rPr>
          <w:rFonts w:hint="eastAsia" w:ascii="仿宋_GB2312" w:hAnsi="仿宋_GB2312" w:eastAsia="仿宋_GB2312" w:cs="仿宋_GB2312"/>
          <w:b/>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迁飞性害虫雷达监测站项目由省级农业农村部门把关审核和组织申报，省级及以上植保科研、教学单位承担或参与承担建设任务。</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68"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4.中央投资规模。</w:t>
      </w:r>
      <w:r>
        <w:rPr>
          <w:rFonts w:hint="eastAsia" w:ascii="仿宋_GB2312" w:hAnsi="仿宋_GB2312" w:eastAsia="仿宋_GB2312" w:cs="仿宋_GB2312"/>
          <w:bCs/>
          <w:color w:val="auto"/>
          <w:kern w:val="0"/>
          <w:sz w:val="32"/>
          <w:szCs w:val="32"/>
          <w:highlight w:val="none"/>
        </w:rPr>
        <w:t>迁飞性害虫雷达监测站</w:t>
      </w:r>
      <w:r>
        <w:rPr>
          <w:rFonts w:hint="eastAsia" w:ascii="仿宋_GB2312" w:hAnsi="仿宋_GB2312" w:eastAsia="仿宋_GB2312" w:cs="仿宋_GB2312"/>
          <w:color w:val="auto"/>
          <w:kern w:val="0"/>
          <w:sz w:val="32"/>
          <w:szCs w:val="32"/>
          <w:highlight w:val="none"/>
        </w:rPr>
        <w:t>建设</w:t>
      </w:r>
      <w:r>
        <w:rPr>
          <w:rFonts w:hint="eastAsia" w:ascii="仿宋_GB2312" w:hAnsi="仿宋_GB2312" w:eastAsia="仿宋_GB2312" w:cs="仿宋_GB2312"/>
          <w:bCs/>
          <w:color w:val="auto"/>
          <w:kern w:val="0"/>
          <w:sz w:val="32"/>
          <w:szCs w:val="32"/>
          <w:highlight w:val="none"/>
        </w:rPr>
        <w:t>项目中央投资东、中、西部、东北地区分别不超过总投资的60%、80%、90%、90%，且最多</w:t>
      </w:r>
      <w:r>
        <w:rPr>
          <w:rFonts w:hint="eastAsia" w:ascii="仿宋_GB2312" w:hAnsi="仿宋_GB2312" w:eastAsia="仿宋_GB2312" w:cs="仿宋_GB2312"/>
          <w:color w:val="auto"/>
          <w:kern w:val="0"/>
          <w:sz w:val="32"/>
          <w:szCs w:val="32"/>
          <w:highlight w:val="none"/>
        </w:rPr>
        <w:t>不超过2</w:t>
      </w:r>
      <w:r>
        <w:rPr>
          <w:rFonts w:hint="eastAsia" w:ascii="仿宋_GB2312" w:hAnsi="仿宋_GB2312" w:eastAsia="仿宋_GB2312" w:cs="仿宋_GB2312"/>
          <w:color w:val="0D0D0D"/>
          <w:kern w:val="0"/>
          <w:sz w:val="32"/>
          <w:szCs w:val="32"/>
          <w:highlight w:val="none"/>
        </w:rPr>
        <w:t>00万元</w:t>
      </w:r>
      <w:r>
        <w:rPr>
          <w:rFonts w:hint="eastAsia" w:ascii="仿宋_GB2312" w:hAnsi="仿宋_GB2312" w:eastAsia="仿宋_GB2312" w:cs="仿宋_GB2312"/>
          <w:color w:val="auto"/>
          <w:kern w:val="0"/>
          <w:sz w:val="32"/>
          <w:szCs w:val="32"/>
          <w:highlight w:val="none"/>
        </w:rPr>
        <w:t>。</w:t>
      </w:r>
    </w:p>
    <w:p>
      <w:pPr>
        <w:adjustRightInd w:val="0"/>
        <w:snapToGrid w:val="0"/>
        <w:spacing w:line="568" w:lineRule="exact"/>
        <w:ind w:firstLine="640" w:firstLineChars="200"/>
        <w:rPr>
          <w:rFonts w:hint="eastAsia" w:ascii="楷体_GB2312" w:hAnsi="楷体_GB2312" w:eastAsia="楷体_GB2312" w:cs="楷体_GB2312"/>
          <w:b w:val="0"/>
          <w:color w:val="auto"/>
          <w:kern w:val="0"/>
          <w:sz w:val="32"/>
          <w:szCs w:val="32"/>
          <w:highlight w:val="none"/>
        </w:rPr>
      </w:pPr>
      <w:r>
        <w:rPr>
          <w:rFonts w:hint="eastAsia" w:ascii="楷体_GB2312" w:hAnsi="楷体_GB2312" w:eastAsia="楷体_GB2312" w:cs="楷体_GB2312"/>
          <w:b w:val="0"/>
          <w:color w:val="auto"/>
          <w:kern w:val="0"/>
          <w:sz w:val="32"/>
          <w:szCs w:val="32"/>
          <w:highlight w:val="none"/>
        </w:rPr>
        <w:t>（五）省级农药风险监测中心（含田间监测点）</w:t>
      </w:r>
    </w:p>
    <w:p>
      <w:pPr>
        <w:adjustRightInd w:val="0"/>
        <w:snapToGrid w:val="0"/>
        <w:spacing w:line="568" w:lineRule="exact"/>
        <w:ind w:firstLine="643" w:firstLineChars="200"/>
        <w:rPr>
          <w:rFonts w:hint="eastAsia" w:ascii="仿宋_GB2312" w:hAnsi="仿宋_GB2312" w:eastAsia="仿宋_GB2312" w:cs="仿宋_GB2312"/>
          <w:b/>
          <w:color w:val="auto"/>
          <w:kern w:val="0"/>
          <w:sz w:val="32"/>
          <w:szCs w:val="32"/>
          <w:highlight w:val="none"/>
        </w:rPr>
      </w:pPr>
      <w:r>
        <w:rPr>
          <w:rFonts w:hint="eastAsia" w:ascii="仿宋_GB2312" w:hAnsi="仿宋_GB2312" w:eastAsia="仿宋_GB2312" w:cs="仿宋_GB2312"/>
          <w:b/>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通过项目建设，具备承担本辖区（含临近省份）生产、使用农药的安全风险监测（包括农药质量、残留、环境风险、有效性、作物安全性、施药者安全等方面）、样品检验的能力；具备储存本辖区（含临近省份）农药封样样品、监测样品、监测数据档案资料等能力，相关信息的监测、报送要与国家农药风险监控中心对接和互联互通；协助国家农药风险监控中心开展标准制修订、方法验证等工作。各监测点主要协助省级中心开展相关试验、样品采集和临时储存等工作。</w:t>
      </w:r>
    </w:p>
    <w:p>
      <w:pPr>
        <w:adjustRightInd w:val="0"/>
        <w:snapToGrid w:val="0"/>
        <w:spacing w:line="568"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现有农药检验实验室及配套设施改扩建，改扩建实验室、试验田及附属工程等，更新农药产品质量检测、农药药害及抗性鉴定等老旧设备，补充用于农药杂质、农药残留监测、农田生态环境农药污染等样品的高灵敏度痕量分析仪器，以及隐性成分分析仪器设备，配置农药产供销、风险监测、追溯、评审等数据管理系统，包括与国家农药大数据监管服务中心的数据接口，购置区域监测点样品采集、存储、冷链运输等工具，完善视频监控设备等实验室信息管理系统。</w:t>
      </w:r>
    </w:p>
    <w:p>
      <w:pPr>
        <w:adjustRightInd w:val="0"/>
        <w:snapToGrid w:val="0"/>
        <w:spacing w:line="568"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在农药使用重点省（区、市）进行建设完善，具体承担单位为有条件、有能力的省级植保、农药检定/检测相关机构，每个中心配套建立5－10个监测点。</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68"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每个省级农药风险监测中心（含田间监测点）总投资不超过2500万元，中央投资东、中、西部、东北地区分别不超过总投资的60%、80%、90%、90%。</w:t>
      </w:r>
    </w:p>
    <w:p>
      <w:pPr>
        <w:adjustRightInd w:val="0"/>
        <w:snapToGrid w:val="0"/>
        <w:spacing w:line="568"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bCs/>
          <w:color w:val="auto"/>
          <w:kern w:val="0"/>
          <w:sz w:val="32"/>
          <w:szCs w:val="32"/>
          <w:highlight w:val="none"/>
        </w:rPr>
        <w:t>四、</w:t>
      </w:r>
      <w:r>
        <w:rPr>
          <w:rFonts w:hint="eastAsia" w:ascii="黑体" w:hAnsi="黑体" w:eastAsia="黑体" w:cs="黑体"/>
          <w:color w:val="auto"/>
          <w:kern w:val="0"/>
          <w:sz w:val="32"/>
          <w:szCs w:val="32"/>
          <w:highlight w:val="none"/>
        </w:rPr>
        <w:t>联系方式</w:t>
      </w:r>
      <w:r>
        <w:rPr>
          <w:rFonts w:hint="eastAsia" w:ascii="黑体" w:hAnsi="黑体" w:eastAsia="黑体" w:cs="黑体"/>
          <w:b/>
          <w:color w:val="auto"/>
          <w:kern w:val="0"/>
          <w:sz w:val="32"/>
          <w:szCs w:val="32"/>
          <w:highlight w:val="none"/>
        </w:rPr>
        <w:t xml:space="preserve"> </w:t>
      </w:r>
    </w:p>
    <w:p>
      <w:pPr>
        <w:pStyle w:val="7"/>
        <w:adjustRightInd w:val="0"/>
        <w:snapToGrid w:val="0"/>
        <w:spacing w:line="568"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1.兽医与屠宰管理处</w:t>
      </w:r>
    </w:p>
    <w:p>
      <w:pPr>
        <w:pStyle w:val="7"/>
        <w:adjustRightInd w:val="0"/>
        <w:snapToGrid w:val="0"/>
        <w:spacing w:line="568"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联 系 人：</w:t>
      </w:r>
      <w:r>
        <w:rPr>
          <w:rFonts w:hint="eastAsia" w:ascii="仿宋_GB2312" w:hAnsi="仿宋_GB2312" w:eastAsia="仿宋_GB2312" w:cs="仿宋_GB2312"/>
          <w:color w:val="auto"/>
          <w:kern w:val="0"/>
          <w:sz w:val="32"/>
          <w:szCs w:val="32"/>
          <w:highlight w:val="none"/>
          <w:lang w:val="en-US"/>
        </w:rPr>
        <w:t>方伟</w:t>
      </w:r>
      <w:r>
        <w:rPr>
          <w:rFonts w:hint="eastAsia" w:ascii="仿宋_GB2312" w:hAnsi="仿宋_GB2312" w:eastAsia="仿宋_GB2312" w:cs="仿宋_GB2312"/>
          <w:color w:val="auto"/>
          <w:kern w:val="0"/>
          <w:sz w:val="32"/>
          <w:szCs w:val="32"/>
          <w:highlight w:val="none"/>
        </w:rPr>
        <w:t xml:space="preserve">   </w:t>
      </w:r>
    </w:p>
    <w:p>
      <w:pPr>
        <w:pStyle w:val="7"/>
        <w:adjustRightInd w:val="0"/>
        <w:snapToGrid w:val="0"/>
        <w:spacing w:line="568"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联系电话：</w:t>
      </w:r>
      <w:r>
        <w:rPr>
          <w:rFonts w:hint="eastAsia" w:ascii="仿宋_GB2312" w:hAnsi="仿宋_GB2312" w:eastAsia="仿宋_GB2312" w:cs="仿宋_GB2312"/>
          <w:color w:val="auto"/>
          <w:kern w:val="0"/>
          <w:sz w:val="32"/>
          <w:szCs w:val="32"/>
          <w:highlight w:val="none"/>
          <w:lang w:val="en-US"/>
        </w:rPr>
        <w:t>020</w:t>
      </w:r>
      <w:r>
        <w:rPr>
          <w:rFonts w:hint="eastAsia" w:ascii="仿宋_GB2312" w:hAnsi="仿宋_GB2312" w:cs="仿宋_GB2312"/>
          <w:color w:val="auto"/>
          <w:kern w:val="0"/>
          <w:sz w:val="32"/>
          <w:szCs w:val="32"/>
          <w:highlight w:val="none"/>
          <w:lang w:val="en-US" w:eastAsia="zh-CN"/>
        </w:rPr>
        <w:t>-</w:t>
      </w:r>
      <w:r>
        <w:rPr>
          <w:rFonts w:hint="eastAsia" w:ascii="仿宋_GB2312" w:hAnsi="仿宋_GB2312" w:eastAsia="仿宋_GB2312" w:cs="仿宋_GB2312"/>
          <w:color w:val="auto"/>
          <w:kern w:val="0"/>
          <w:sz w:val="32"/>
          <w:szCs w:val="32"/>
          <w:highlight w:val="none"/>
          <w:lang w:val="en-US"/>
        </w:rPr>
        <w:t>37289316</w:t>
      </w:r>
    </w:p>
    <w:p>
      <w:pPr>
        <w:pStyle w:val="7"/>
        <w:adjustRightInd w:val="0"/>
        <w:snapToGrid w:val="0"/>
        <w:spacing w:line="568"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2.渔业发展处</w:t>
      </w:r>
    </w:p>
    <w:p>
      <w:pPr>
        <w:pStyle w:val="7"/>
        <w:adjustRightInd w:val="0"/>
        <w:snapToGrid w:val="0"/>
        <w:spacing w:line="568"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联 系 人：</w:t>
      </w:r>
      <w:r>
        <w:rPr>
          <w:rFonts w:hint="eastAsia" w:ascii="仿宋_GB2312" w:hAnsi="仿宋_GB2312" w:cs="仿宋_GB2312"/>
          <w:color w:val="auto"/>
          <w:kern w:val="0"/>
          <w:sz w:val="32"/>
          <w:szCs w:val="32"/>
          <w:highlight w:val="none"/>
          <w:lang w:eastAsia="zh-CN"/>
        </w:rPr>
        <w:t>孙秀秀</w:t>
      </w:r>
    </w:p>
    <w:p>
      <w:pPr>
        <w:pStyle w:val="7"/>
        <w:adjustRightInd w:val="0"/>
        <w:snapToGrid w:val="0"/>
        <w:spacing w:line="568" w:lineRule="exact"/>
        <w:ind w:firstLine="640" w:firstLineChars="200"/>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联系电话：</w:t>
      </w:r>
      <w:r>
        <w:rPr>
          <w:rFonts w:hint="eastAsia" w:ascii="仿宋_GB2312" w:hAnsi="仿宋_GB2312" w:cs="仿宋_GB2312"/>
          <w:color w:val="auto"/>
          <w:kern w:val="0"/>
          <w:sz w:val="32"/>
          <w:szCs w:val="32"/>
          <w:highlight w:val="none"/>
          <w:lang w:val="en-US" w:eastAsia="zh-CN"/>
        </w:rPr>
        <w:t>020-37289232</w:t>
      </w:r>
    </w:p>
    <w:p>
      <w:pPr>
        <w:pStyle w:val="7"/>
        <w:adjustRightInd w:val="0"/>
        <w:snapToGrid w:val="0"/>
        <w:spacing w:line="568"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3.植保植检处</w:t>
      </w:r>
    </w:p>
    <w:p>
      <w:pPr>
        <w:pStyle w:val="7"/>
        <w:adjustRightInd w:val="0"/>
        <w:snapToGrid w:val="0"/>
        <w:spacing w:line="568" w:lineRule="exact"/>
        <w:ind w:firstLine="640" w:firstLineChars="200"/>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联 系 人：</w:t>
      </w:r>
      <w:r>
        <w:rPr>
          <w:rFonts w:hint="eastAsia" w:ascii="仿宋_GB2312" w:hAnsi="仿宋_GB2312" w:cs="仿宋_GB2312"/>
          <w:color w:val="auto"/>
          <w:kern w:val="0"/>
          <w:sz w:val="32"/>
          <w:szCs w:val="32"/>
          <w:highlight w:val="none"/>
          <w:lang w:eastAsia="zh-CN"/>
        </w:rPr>
        <w:t>冯京</w:t>
      </w:r>
    </w:p>
    <w:p>
      <w:pPr>
        <w:pStyle w:val="7"/>
        <w:adjustRightInd w:val="0"/>
        <w:snapToGrid w:val="0"/>
        <w:spacing w:line="568" w:lineRule="exact"/>
        <w:ind w:firstLine="640" w:firstLineChars="200"/>
        <w:jc w:val="both"/>
        <w:rPr>
          <w:rFonts w:hint="eastAsia" w:ascii="仿宋_GB2312" w:hAnsi="仿宋_GB2312" w:eastAsia="仿宋_GB2312" w:cs="仿宋_GB2312"/>
          <w:color w:val="auto"/>
          <w:kern w:val="0"/>
          <w:sz w:val="32"/>
          <w:szCs w:val="32"/>
          <w:highlight w:val="none"/>
        </w:rPr>
        <w:sectPr>
          <w:footerReference r:id="rId4" w:type="default"/>
          <w:pgSz w:w="11906" w:h="16838"/>
          <w:pgMar w:top="1871" w:right="1531" w:bottom="1871" w:left="1531" w:header="851" w:footer="1417" w:gutter="0"/>
          <w:pgBorders>
            <w:top w:val="none" w:sz="0" w:space="0"/>
            <w:left w:val="none" w:sz="0" w:space="0"/>
            <w:bottom w:val="none" w:sz="0" w:space="0"/>
            <w:right w:val="none" w:sz="0" w:space="0"/>
          </w:pgBorders>
          <w:pgNumType w:fmt="decimal"/>
          <w:cols w:space="0" w:num="1"/>
          <w:rtlGutter w:val="0"/>
          <w:docGrid w:type="lines" w:linePitch="595" w:charSpace="0"/>
        </w:sectPr>
      </w:pPr>
      <w:r>
        <w:rPr>
          <w:rFonts w:hint="eastAsia" w:ascii="仿宋_GB2312" w:hAnsi="仿宋_GB2312" w:eastAsia="仿宋_GB2312" w:cs="仿宋_GB2312"/>
          <w:color w:val="auto"/>
          <w:kern w:val="0"/>
          <w:sz w:val="32"/>
          <w:szCs w:val="32"/>
          <w:highlight w:val="none"/>
        </w:rPr>
        <w:t>联系电话：</w:t>
      </w:r>
      <w:r>
        <w:rPr>
          <w:rFonts w:hint="eastAsia" w:ascii="仿宋_GB2312" w:hAnsi="仿宋_GB2312" w:cs="仿宋_GB2312"/>
          <w:color w:val="auto"/>
          <w:kern w:val="0"/>
          <w:sz w:val="32"/>
          <w:szCs w:val="32"/>
          <w:highlight w:val="none"/>
          <w:lang w:val="en-US" w:eastAsia="zh-CN"/>
        </w:rPr>
        <w:t>020-37288507</w:t>
      </w:r>
    </w:p>
    <w:p>
      <w:pPr>
        <w:adjustRightInd w:val="0"/>
        <w:snapToGrid w:val="0"/>
        <w:spacing w:line="590" w:lineRule="exact"/>
        <w:ind w:firstLine="0" w:firstLineChars="0"/>
        <w:outlineLvl w:val="9"/>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rPr>
        <w:t>附件</w:t>
      </w:r>
      <w:r>
        <w:rPr>
          <w:rFonts w:hint="eastAsia" w:ascii="黑体" w:hAnsi="黑体" w:eastAsia="黑体" w:cs="黑体"/>
          <w:color w:val="auto"/>
          <w:kern w:val="0"/>
          <w:sz w:val="32"/>
          <w:szCs w:val="32"/>
          <w:highlight w:val="none"/>
          <w:lang w:val="en-US" w:eastAsia="zh-CN"/>
        </w:rPr>
        <w:t>1-4</w:t>
      </w:r>
    </w:p>
    <w:p>
      <w:pPr>
        <w:adjustRightInd w:val="0"/>
        <w:snapToGrid w:val="0"/>
        <w:spacing w:line="590" w:lineRule="exact"/>
        <w:ind w:firstLine="643" w:firstLineChars="200"/>
        <w:rPr>
          <w:rFonts w:hint="eastAsia" w:ascii="仿宋_GB2312" w:hAnsi="仿宋_GB2312" w:eastAsia="仿宋_GB2312" w:cs="仿宋_GB2312"/>
          <w:b/>
          <w:color w:val="auto"/>
          <w:kern w:val="0"/>
          <w:sz w:val="32"/>
          <w:szCs w:val="32"/>
          <w:highlight w:val="none"/>
        </w:rPr>
      </w:pPr>
    </w:p>
    <w:p>
      <w:pPr>
        <w:adjustRightInd w:val="0"/>
        <w:snapToGrid w:val="0"/>
        <w:spacing w:line="590" w:lineRule="exact"/>
        <w:ind w:firstLine="0" w:firstLineChars="0"/>
        <w:jc w:val="center"/>
        <w:outlineLvl w:val="9"/>
        <w:rPr>
          <w:rFonts w:hint="eastAsia" w:ascii="方正小标宋简体" w:hAnsi="方正小标宋简体" w:eastAsia="方正小标宋简体" w:cs="方正小标宋简体"/>
          <w:b w:val="0"/>
          <w:bCs/>
          <w:color w:val="auto"/>
          <w:kern w:val="0"/>
          <w:sz w:val="44"/>
          <w:szCs w:val="44"/>
          <w:highlight w:val="none"/>
        </w:rPr>
      </w:pPr>
      <w:r>
        <w:rPr>
          <w:rFonts w:hint="eastAsia" w:ascii="方正小标宋简体" w:hAnsi="方正小标宋简体" w:eastAsia="方正小标宋简体" w:cs="方正小标宋简体"/>
          <w:b w:val="0"/>
          <w:bCs/>
          <w:color w:val="auto"/>
          <w:kern w:val="0"/>
          <w:sz w:val="44"/>
          <w:szCs w:val="44"/>
          <w:highlight w:val="none"/>
        </w:rPr>
        <w:t>畜禽粪污资源化利用整县推进项目储备指南</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p>
    <w:p>
      <w:pPr>
        <w:numPr>
          <w:ilvl w:val="0"/>
          <w:numId w:val="1"/>
        </w:num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建设要求</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突出种养结合要求，以县为单位统筹推进畜禽粪污资源化利用。项目建成后，项目县规模养殖场粪污处理设施装备基本配套，粪肥施用机械化水平稳步提高，示范基地耕地面积达到4万亩以上，总结推广种养循环技术模式，探索构建市场运行机制，带动县域粪肥就地就近利用，促进农牧循环发展。</w:t>
      </w:r>
    </w:p>
    <w:p>
      <w:pPr>
        <w:numPr>
          <w:ilvl w:val="0"/>
          <w:numId w:val="1"/>
        </w:num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建设内容</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重点支持规模养殖场、种植主体、社会化服务组织以及县级技术支撑单位改造提升畜禽粪污收集、贮存、处理、利用以及检测相关设施设备，建设打造粪肥还田利用示范基地。项目县根据现有基础条件，按照“填平补齐”的原则确定项目建设内容。重点支持密闭贮存发酵设施、堆肥设施等建设，建设厌氧消化、沼气利用、沼液密闭贮存、沼渣堆肥、臭气控制等设施；支持购置运输罐车、撒肥机，配套建设粪污输送管网、密闭田间贮存设施等，购置粪肥计量、养分测定等分析检测仪器；建设长期定位监测点。</w:t>
      </w:r>
    </w:p>
    <w:p>
      <w:pPr>
        <w:numPr>
          <w:ilvl w:val="0"/>
          <w:numId w:val="1"/>
        </w:num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储备条件</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县域生猪存栏量≥10万头或存栏猪当量≥20万头，优先将县级人民政府重视程度高、种养结合发展思路清晰、畜牧业发展稳定、配套政策措施有力、耕地面积较大、涉及到建设用地有保障（如产粮大县等）的县纳入支持范围。</w:t>
      </w:r>
    </w:p>
    <w:p>
      <w:pPr>
        <w:adjustRightInd w:val="0"/>
        <w:snapToGrid w:val="0"/>
        <w:spacing w:line="590" w:lineRule="exact"/>
        <w:ind w:firstLine="643" w:firstLineChars="200"/>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已实施过中央预算内投资或中央财政畜禽粪污资源化利用整县推进项目的县不纳入储备范围。</w:t>
      </w:r>
    </w:p>
    <w:p>
      <w:pPr>
        <w:numPr>
          <w:ilvl w:val="0"/>
          <w:numId w:val="1"/>
        </w:num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中央投资规模</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中央投资比例原则上不超过项目总投资的50%，每个县不超过3000万元。其中，生猪存栏量10－20万头或存栏猪当量20－40万头的县中央投资不超过2500万元，脱贫县不超过2800万元；生猪存栏量20万头（含）或存栏猪当量40万头（含）以上的县（包括脱贫县），中央投资不超过3000万元。</w:t>
      </w: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五、联系方式</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畜牧与饲料处</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联 系 人：</w:t>
      </w:r>
      <w:r>
        <w:rPr>
          <w:rFonts w:hint="eastAsia" w:ascii="仿宋_GB2312" w:hAnsi="仿宋_GB2312" w:cs="仿宋_GB2312"/>
          <w:color w:val="auto"/>
          <w:kern w:val="0"/>
          <w:sz w:val="32"/>
          <w:szCs w:val="32"/>
          <w:highlight w:val="none"/>
          <w:lang w:eastAsia="zh-CN"/>
        </w:rPr>
        <w:t>薛念波、杨浩君</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联系电话：</w:t>
      </w:r>
      <w:r>
        <w:rPr>
          <w:rFonts w:hint="eastAsia" w:ascii="仿宋_GB2312" w:hAnsi="仿宋_GB2312" w:cs="仿宋_GB2312"/>
          <w:color w:val="auto"/>
          <w:kern w:val="0"/>
          <w:sz w:val="32"/>
          <w:szCs w:val="32"/>
          <w:highlight w:val="none"/>
          <w:lang w:val="en-US" w:eastAsia="zh-CN"/>
        </w:rPr>
        <w:t>020-37288284、87241509</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p>
    <w:p>
      <w:pPr>
        <w:pStyle w:val="7"/>
        <w:adjustRightInd w:val="0"/>
        <w:snapToGrid w:val="0"/>
        <w:spacing w:line="590" w:lineRule="exact"/>
        <w:ind w:firstLine="640" w:firstLineChars="200"/>
        <w:rPr>
          <w:rFonts w:hint="eastAsia" w:ascii="仿宋_GB2312" w:hAnsi="仿宋_GB2312" w:cs="仿宋_GB2312"/>
          <w:color w:val="auto"/>
          <w:kern w:val="0"/>
          <w:highlight w:val="none"/>
        </w:rPr>
      </w:pPr>
    </w:p>
    <w:p>
      <w:pPr>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rPr>
      </w:pPr>
    </w:p>
    <w:p>
      <w:pPr>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br w:type="page"/>
      </w:r>
    </w:p>
    <w:p>
      <w:pPr>
        <w:adjustRightInd w:val="0"/>
        <w:snapToGrid w:val="0"/>
        <w:spacing w:line="590" w:lineRule="exact"/>
        <w:ind w:firstLine="0" w:firstLineChars="0"/>
        <w:jc w:val="both"/>
        <w:outlineLvl w:val="9"/>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rPr>
        <w:t>附件</w:t>
      </w:r>
      <w:bookmarkStart w:id="4" w:name="_Hlk76642803"/>
      <w:bookmarkStart w:id="5" w:name="_Hlk76653845"/>
      <w:r>
        <w:rPr>
          <w:rFonts w:hint="eastAsia" w:ascii="黑体" w:hAnsi="黑体" w:eastAsia="黑体" w:cs="黑体"/>
          <w:color w:val="auto"/>
          <w:kern w:val="0"/>
          <w:sz w:val="32"/>
          <w:szCs w:val="32"/>
          <w:highlight w:val="none"/>
          <w:lang w:val="en-US" w:eastAsia="zh-CN"/>
        </w:rPr>
        <w:t>1-5</w:t>
      </w:r>
    </w:p>
    <w:p>
      <w:pPr>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rPr>
      </w:pPr>
    </w:p>
    <w:p>
      <w:pPr>
        <w:adjustRightInd w:val="0"/>
        <w:snapToGrid w:val="0"/>
        <w:spacing w:line="590" w:lineRule="exact"/>
        <w:ind w:firstLine="0" w:firstLineChars="0"/>
        <w:jc w:val="center"/>
        <w:outlineLvl w:val="9"/>
        <w:rPr>
          <w:rFonts w:hint="eastAsia" w:ascii="方正小标宋简体" w:hAnsi="方正小标宋简体" w:eastAsia="方正小标宋简体" w:cs="方正小标宋简体"/>
          <w:b w:val="0"/>
          <w:bCs w:val="0"/>
          <w:color w:val="auto"/>
          <w:kern w:val="0"/>
          <w:sz w:val="44"/>
          <w:szCs w:val="44"/>
          <w:highlight w:val="none"/>
        </w:rPr>
      </w:pPr>
      <w:r>
        <w:rPr>
          <w:rFonts w:hint="eastAsia" w:ascii="方正小标宋简体" w:hAnsi="方正小标宋简体" w:eastAsia="方正小标宋简体" w:cs="方正小标宋简体"/>
          <w:b w:val="0"/>
          <w:bCs w:val="0"/>
          <w:color w:val="auto"/>
          <w:kern w:val="0"/>
          <w:sz w:val="44"/>
          <w:szCs w:val="44"/>
          <w:highlight w:val="none"/>
        </w:rPr>
        <w:t>农业科技创新能力条件建设项目储备指南</w:t>
      </w:r>
      <w:bookmarkEnd w:id="4"/>
    </w:p>
    <w:bookmarkEnd w:id="5"/>
    <w:p>
      <w:pPr>
        <w:adjustRightInd w:val="0"/>
        <w:snapToGrid w:val="0"/>
        <w:spacing w:line="590" w:lineRule="exact"/>
        <w:ind w:firstLine="640" w:firstLineChars="200"/>
        <w:rPr>
          <w:rFonts w:hint="eastAsia" w:ascii="仿宋_GB2312" w:hAnsi="仿宋_GB2312" w:cs="仿宋_GB2312"/>
          <w:color w:val="auto"/>
          <w:kern w:val="0"/>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一、建设要求</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按照《“十四五”全国农业科技创新能力条件建设规划》总体布局，重点支持建设国际农业联合研究中心、农业农村部重点实验室、区域技术公共研发中心、国家农业科学观测实验站、农业科研试验基地等，提升农业科技创新能力条件建设水平，为</w:t>
      </w:r>
      <w:r>
        <w:rPr>
          <w:rFonts w:hint="eastAsia" w:ascii="仿宋_GB2312" w:hAnsi="仿宋_GB2312" w:eastAsia="仿宋_GB2312" w:cs="仿宋_GB2312"/>
          <w:bCs/>
          <w:color w:val="auto"/>
          <w:kern w:val="0"/>
          <w:sz w:val="32"/>
          <w:szCs w:val="32"/>
          <w:highlight w:val="none"/>
        </w:rPr>
        <w:t>农业科技现代化</w:t>
      </w:r>
      <w:r>
        <w:rPr>
          <w:rFonts w:hint="eastAsia" w:ascii="仿宋_GB2312" w:hAnsi="仿宋_GB2312" w:eastAsia="仿宋_GB2312" w:cs="仿宋_GB2312"/>
          <w:color w:val="auto"/>
          <w:kern w:val="0"/>
          <w:sz w:val="32"/>
          <w:szCs w:val="32"/>
          <w:highlight w:val="none"/>
        </w:rPr>
        <w:t>提供坚实的物质基础和条件保障。</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二、建设内容</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（一）国际农业联合研究中心</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根据现有基础和实验需要，按照国际一流实验室的建设标准，购置与科研任务需求紧密相关的科研仪器设备，改造实验室</w:t>
      </w:r>
      <w:r>
        <w:rPr>
          <w:rFonts w:hint="eastAsia" w:ascii="仿宋_GB2312" w:hAnsi="仿宋_GB2312" w:eastAsia="仿宋_GB2312" w:cs="仿宋_GB2312"/>
          <w:snapToGrid w:val="0"/>
          <w:color w:val="auto"/>
          <w:spacing w:val="-6"/>
          <w:kern w:val="0"/>
          <w:sz w:val="32"/>
          <w:szCs w:val="32"/>
          <w:highlight w:val="none"/>
        </w:rPr>
        <w:t>用水、用电、用气和通风装置等配套设施。重点支持单台（套）50万元以上仪器设备，不支持购买单台（套）5万元以下仪器设备。</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（二）农业农村部重点实验室</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根据现有基础和科研任务需求，研发与购置科研仪器设备，改造实验室用气、用水、用电和通风装置等，视情况改扩建配套基地。重点支持单台（套）50万元以上仪器设备，不支持购买单台（套）5万元以下仪器设备。</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（三）区域技术公共研发中心</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根据现有基础和科研任务需求，研发与购置科研仪器设备，改造实验室用水、用电、用气和通风装置等配套设施。重点支持单台（套）50万元以上仪器设备。</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楷体_GB2312" w:hAnsi="楷体_GB2312" w:eastAsia="楷体_GB2312" w:cs="楷体_GB2312"/>
          <w:b w:val="0"/>
          <w:bCs w:val="0"/>
          <w:color w:val="auto"/>
          <w:kern w:val="0"/>
          <w:sz w:val="32"/>
          <w:szCs w:val="32"/>
          <w:highlight w:val="none"/>
        </w:rPr>
      </w:pPr>
      <w:bookmarkStart w:id="6" w:name="_Toc46845691"/>
      <w:bookmarkStart w:id="7" w:name="_Toc968578113"/>
      <w:bookmarkStart w:id="8" w:name="_Toc73082429"/>
      <w:bookmarkStart w:id="9" w:name="_Toc624006008"/>
      <w:bookmarkStart w:id="10" w:name="_Toc466059999"/>
      <w:bookmarkStart w:id="11" w:name="_Toc73307028"/>
      <w:r>
        <w:rPr>
          <w:rFonts w:hint="eastAsia" w:ascii="楷体_GB2312" w:hAnsi="楷体_GB2312" w:eastAsia="楷体_GB2312" w:cs="楷体_GB2312"/>
          <w:b w:val="0"/>
          <w:bCs w:val="0"/>
          <w:color w:val="auto"/>
          <w:kern w:val="0"/>
          <w:sz w:val="32"/>
          <w:szCs w:val="32"/>
          <w:highlight w:val="none"/>
        </w:rPr>
        <w:t>（四）国家农业科学观测实验站</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建设田间长期定位试验小（微）区、气象观测站、物联网等设施，研发与购置观测监测检测及信息处理设备，小型试验用农机具，观测配套用房改扩建，完善道路、围墙、给排水、供配电、安防等辅助设施。</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（五）</w:t>
      </w:r>
      <w:bookmarkEnd w:id="6"/>
      <w:bookmarkEnd w:id="7"/>
      <w:bookmarkEnd w:id="8"/>
      <w:bookmarkEnd w:id="9"/>
      <w:bookmarkEnd w:id="10"/>
      <w:bookmarkEnd w:id="11"/>
      <w:r>
        <w:rPr>
          <w:rFonts w:hint="eastAsia" w:ascii="楷体_GB2312" w:hAnsi="楷体_GB2312" w:eastAsia="楷体_GB2312" w:cs="楷体_GB2312"/>
          <w:b w:val="0"/>
          <w:bCs w:val="0"/>
          <w:color w:val="auto"/>
          <w:kern w:val="0"/>
          <w:sz w:val="32"/>
          <w:szCs w:val="32"/>
          <w:highlight w:val="none"/>
        </w:rPr>
        <w:t>农业科研试验基地</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根据建设类型和建设需要，主要包括试验用房、种养设施等建（构）筑物，道路、围墙、给排水、供配电等田间基础设施，常规检验检测仪器设备、农机具、物联网等配套装备，加工试验生产线、自动控制系统等试验设施等。包括农业综合科研试验基地、农业全程机械化科研试验基地、农产品加工技术科研试验基地、生物育种科研试验基地。</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三、储备条件</w:t>
      </w:r>
    </w:p>
    <w:p>
      <w:pPr>
        <w:keepNext w:val="0"/>
        <w:keepLines w:val="0"/>
        <w:pageBreakBefore w:val="0"/>
        <w:widowControl w:val="0"/>
        <w:kinsoku/>
        <w:wordWrap/>
        <w:overflowPunct/>
        <w:topLinePunct w:val="0"/>
        <w:autoSpaceDE/>
        <w:autoSpaceDN/>
        <w:bidi w:val="0"/>
        <w:adjustRightInd w:val="0"/>
        <w:snapToGrid w:val="0"/>
        <w:spacing w:line="568" w:lineRule="exact"/>
        <w:ind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国际农业联合研究中心。</w:t>
      </w:r>
      <w:r>
        <w:rPr>
          <w:rFonts w:hint="eastAsia" w:ascii="仿宋_GB2312" w:hAnsi="仿宋_GB2312" w:eastAsia="仿宋_GB2312" w:cs="仿宋_GB2312"/>
          <w:b w:val="0"/>
          <w:bCs w:val="0"/>
          <w:color w:val="auto"/>
          <w:kern w:val="0"/>
          <w:sz w:val="32"/>
          <w:szCs w:val="32"/>
          <w:highlight w:val="none"/>
        </w:rPr>
        <w:t>建设单位应是经农业农村部批复成立国际农业联合研究中心的科研院所、高校。</w:t>
      </w:r>
      <w:r>
        <w:rPr>
          <w:rFonts w:hint="eastAsia" w:ascii="仿宋_GB2312" w:hAnsi="仿宋_GB2312" w:eastAsia="仿宋_GB2312" w:cs="仿宋_GB2312"/>
          <w:b/>
          <w:bCs/>
          <w:color w:val="auto"/>
          <w:kern w:val="0"/>
          <w:sz w:val="32"/>
          <w:szCs w:val="32"/>
          <w:highlight w:val="none"/>
        </w:rPr>
        <w:t>农业农村部重点实验室。</w:t>
      </w:r>
      <w:r>
        <w:rPr>
          <w:rFonts w:hint="eastAsia" w:ascii="仿宋_GB2312" w:hAnsi="仿宋_GB2312" w:eastAsia="仿宋_GB2312" w:cs="仿宋_GB2312"/>
          <w:color w:val="auto"/>
          <w:kern w:val="0"/>
          <w:sz w:val="32"/>
          <w:szCs w:val="32"/>
          <w:highlight w:val="none"/>
        </w:rPr>
        <w:t>建设单位为省级</w:t>
      </w:r>
      <w:r>
        <w:rPr>
          <w:rFonts w:hint="eastAsia" w:ascii="仿宋_GB2312" w:hAnsi="仿宋_GB2312" w:eastAsia="仿宋_GB2312" w:cs="仿宋_GB2312"/>
          <w:color w:val="auto"/>
          <w:kern w:val="0"/>
          <w:sz w:val="32"/>
          <w:szCs w:val="32"/>
          <w:highlight w:val="none"/>
          <w:lang w:eastAsia="zh-CN"/>
        </w:rPr>
        <w:t>及</w:t>
      </w:r>
      <w:r>
        <w:rPr>
          <w:rFonts w:hint="eastAsia" w:ascii="仿宋_GB2312" w:hAnsi="仿宋_GB2312" w:eastAsia="仿宋_GB2312" w:cs="仿宋_GB2312"/>
          <w:color w:val="auto"/>
          <w:kern w:val="0"/>
          <w:sz w:val="32"/>
          <w:szCs w:val="32"/>
          <w:highlight w:val="none"/>
        </w:rPr>
        <w:t>以上农业科研单位、高校，且应列入“十四五”新增的农业农村部重点实验室名单</w:t>
      </w:r>
      <w:r>
        <w:rPr>
          <w:rFonts w:hint="eastAsia" w:ascii="仿宋_GB2312" w:hAnsi="仿宋_GB2312" w:cs="仿宋_GB2312"/>
          <w:color w:val="auto"/>
          <w:kern w:val="0"/>
          <w:sz w:val="32"/>
          <w:szCs w:val="32"/>
          <w:highlight w:val="none"/>
          <w:lang w:eastAsia="zh-CN"/>
        </w:rPr>
        <w:t>，共建实验室优先支持牵头单位。</w:t>
      </w:r>
      <w:r>
        <w:rPr>
          <w:rFonts w:hint="eastAsia" w:ascii="仿宋_GB2312" w:hAnsi="仿宋_GB2312" w:eastAsia="仿宋_GB2312" w:cs="仿宋_GB2312"/>
          <w:b/>
          <w:bCs/>
          <w:color w:val="auto"/>
          <w:kern w:val="0"/>
          <w:sz w:val="32"/>
          <w:szCs w:val="32"/>
          <w:highlight w:val="none"/>
        </w:rPr>
        <w:t>区域技术公共研发中心。</w:t>
      </w:r>
      <w:r>
        <w:rPr>
          <w:rFonts w:hint="eastAsia" w:ascii="仿宋_GB2312" w:hAnsi="仿宋_GB2312" w:eastAsia="仿宋_GB2312" w:cs="仿宋_GB2312"/>
          <w:color w:val="auto"/>
          <w:kern w:val="0"/>
          <w:sz w:val="32"/>
          <w:szCs w:val="32"/>
          <w:highlight w:val="none"/>
        </w:rPr>
        <w:t>建设单位应列入农业农村部国家现代农业产业科技创新中心名单。</w:t>
      </w:r>
      <w:r>
        <w:rPr>
          <w:rFonts w:hint="eastAsia" w:ascii="仿宋_GB2312" w:hAnsi="仿宋_GB2312" w:eastAsia="仿宋_GB2312" w:cs="仿宋_GB2312"/>
          <w:b/>
          <w:bCs/>
          <w:color w:val="auto"/>
          <w:kern w:val="0"/>
          <w:sz w:val="32"/>
          <w:szCs w:val="32"/>
          <w:highlight w:val="none"/>
        </w:rPr>
        <w:t>国家农业科学观测实验站。</w:t>
      </w:r>
      <w:r>
        <w:rPr>
          <w:rFonts w:hint="eastAsia" w:ascii="仿宋_GB2312" w:hAnsi="仿宋_GB2312" w:eastAsia="仿宋_GB2312" w:cs="仿宋_GB2312"/>
          <w:color w:val="auto"/>
          <w:kern w:val="0"/>
          <w:sz w:val="32"/>
          <w:szCs w:val="32"/>
          <w:highlight w:val="none"/>
        </w:rPr>
        <w:t>建设单位应在农业农村部确定的国家农业科学观测实验站名单内，具备“有机构、有编制、有土地、有岗位、有经费”建站前置条件。</w:t>
      </w:r>
      <w:r>
        <w:rPr>
          <w:rFonts w:hint="eastAsia" w:ascii="仿宋_GB2312" w:hAnsi="仿宋_GB2312" w:eastAsia="仿宋_GB2312" w:cs="仿宋_GB2312"/>
          <w:b/>
          <w:bCs/>
          <w:color w:val="auto"/>
          <w:kern w:val="0"/>
          <w:sz w:val="32"/>
          <w:szCs w:val="32"/>
          <w:highlight w:val="none"/>
        </w:rPr>
        <w:t>农业科研试验基地。</w:t>
      </w:r>
      <w:r>
        <w:rPr>
          <w:rFonts w:hint="eastAsia" w:ascii="仿宋_GB2312" w:hAnsi="仿宋_GB2312" w:eastAsia="仿宋_GB2312" w:cs="仿宋_GB2312"/>
          <w:color w:val="auto"/>
          <w:kern w:val="0"/>
          <w:sz w:val="32"/>
          <w:szCs w:val="32"/>
          <w:highlight w:val="none"/>
        </w:rPr>
        <w:t>项目建设单位为省级</w:t>
      </w:r>
      <w:r>
        <w:rPr>
          <w:rFonts w:hint="eastAsia" w:ascii="仿宋_GB2312" w:hAnsi="仿宋_GB2312" w:eastAsia="仿宋_GB2312" w:cs="仿宋_GB2312"/>
          <w:color w:val="auto"/>
          <w:kern w:val="0"/>
          <w:sz w:val="32"/>
          <w:szCs w:val="32"/>
          <w:highlight w:val="none"/>
          <w:lang w:eastAsia="zh-CN"/>
        </w:rPr>
        <w:t>及</w:t>
      </w:r>
      <w:r>
        <w:rPr>
          <w:rFonts w:hint="eastAsia" w:ascii="仿宋_GB2312" w:hAnsi="仿宋_GB2312" w:eastAsia="仿宋_GB2312" w:cs="仿宋_GB2312"/>
          <w:color w:val="auto"/>
          <w:kern w:val="0"/>
          <w:sz w:val="32"/>
          <w:szCs w:val="32"/>
          <w:highlight w:val="none"/>
        </w:rPr>
        <w:t>以上农业科研单位、高校，房屋建筑物应在项目单位自有用地上建设，项目申报前应落实土地、规划等前置条件。</w:t>
      </w:r>
    </w:p>
    <w:p>
      <w:pPr>
        <w:pStyle w:val="6"/>
        <w:adjustRightInd w:val="0"/>
        <w:snapToGrid w:val="0"/>
        <w:spacing w:line="568" w:lineRule="exact"/>
        <w:ind w:firstLine="640" w:firstLineChars="200"/>
        <w:rPr>
          <w:rFonts w:hint="eastAsia"/>
        </w:rPr>
      </w:pPr>
      <w:r>
        <w:rPr>
          <w:rFonts w:hint="eastAsia"/>
        </w:rPr>
        <w:t>根据项目法人责任制管理有关要求,联合研究中心、重点实验室、公共研发中心等由多个单位共建拟申报储备项目的,由各单一法人主体单独储备。</w:t>
      </w:r>
    </w:p>
    <w:p>
      <w:pPr>
        <w:keepNext w:val="0"/>
        <w:keepLines w:val="0"/>
        <w:pageBreakBefore w:val="0"/>
        <w:widowControl w:val="0"/>
        <w:kinsoku/>
        <w:wordWrap/>
        <w:overflowPunct/>
        <w:topLinePunct w:val="0"/>
        <w:autoSpaceDE/>
        <w:autoSpaceDN/>
        <w:bidi w:val="0"/>
        <w:adjustRightInd w:val="0"/>
        <w:snapToGrid w:val="0"/>
        <w:spacing w:line="568" w:lineRule="exact"/>
        <w:ind w:firstLine="640" w:firstLineChars="200"/>
        <w:textAlignment w:val="auto"/>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四、中央投资规模</w:t>
      </w:r>
    </w:p>
    <w:p>
      <w:pPr>
        <w:keepNext w:val="0"/>
        <w:keepLines w:val="0"/>
        <w:pageBreakBefore w:val="0"/>
        <w:widowControl w:val="0"/>
        <w:kinsoku/>
        <w:wordWrap/>
        <w:overflowPunct/>
        <w:topLinePunct w:val="0"/>
        <w:autoSpaceDE/>
        <w:autoSpaceDN/>
        <w:bidi w:val="0"/>
        <w:adjustRightInd w:val="0"/>
        <w:snapToGrid w:val="0"/>
        <w:spacing w:line="568"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中央投资东、中、西部、东北地区分别不超过项目总投资的70％、80%、90％、90%。其中，国际农业联合研究中心、农业农村部重点实验室、区域技术公共研发中心项目中央投资最多不超过2000万元；国家农业科学观测实验站、农业科研试验基地（农业全程机械化科研试验基地、农产品加工技术科研试验基地、生物育种科研试验基地）中央投资最多不超过1500万元；农业综合科研试验基地项目中央投资最多不超过3000万元。</w:t>
      </w:r>
    </w:p>
    <w:p>
      <w:pPr>
        <w:adjustRightInd w:val="0"/>
        <w:snapToGrid w:val="0"/>
        <w:spacing w:line="568"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五、联系方式</w:t>
      </w:r>
    </w:p>
    <w:p>
      <w:pPr>
        <w:adjustRightInd w:val="0"/>
        <w:snapToGrid w:val="0"/>
        <w:spacing w:line="568"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1.科技教育处</w:t>
      </w:r>
    </w:p>
    <w:p>
      <w:pPr>
        <w:adjustRightInd w:val="0"/>
        <w:snapToGrid w:val="0"/>
        <w:spacing w:line="568" w:lineRule="exact"/>
        <w:ind w:firstLine="640" w:firstLineChars="200"/>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联 系 人：</w:t>
      </w:r>
      <w:r>
        <w:rPr>
          <w:rFonts w:hint="eastAsia" w:ascii="仿宋_GB2312" w:hAnsi="仿宋_GB2312" w:cs="仿宋_GB2312"/>
          <w:color w:val="auto"/>
          <w:kern w:val="0"/>
          <w:sz w:val="32"/>
          <w:szCs w:val="32"/>
          <w:highlight w:val="none"/>
          <w:lang w:eastAsia="zh-CN"/>
        </w:rPr>
        <w:t>李振柱</w:t>
      </w:r>
    </w:p>
    <w:p>
      <w:pPr>
        <w:adjustRightInd w:val="0"/>
        <w:snapToGrid w:val="0"/>
        <w:spacing w:line="568" w:lineRule="exact"/>
        <w:ind w:firstLine="640" w:firstLineChars="200"/>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联系电话：</w:t>
      </w:r>
      <w:r>
        <w:rPr>
          <w:rFonts w:hint="eastAsia" w:ascii="仿宋_GB2312" w:hAnsi="仿宋_GB2312" w:cs="仿宋_GB2312"/>
          <w:color w:val="auto"/>
          <w:kern w:val="0"/>
          <w:sz w:val="32"/>
          <w:szCs w:val="32"/>
          <w:highlight w:val="none"/>
          <w:lang w:val="en-US" w:eastAsia="zh-CN"/>
        </w:rPr>
        <w:t>020-37288842</w:t>
      </w:r>
    </w:p>
    <w:p>
      <w:pPr>
        <w:adjustRightInd w:val="0"/>
        <w:snapToGrid w:val="0"/>
        <w:spacing w:line="568"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cs="仿宋_GB2312"/>
          <w:color w:val="auto"/>
          <w:kern w:val="0"/>
          <w:sz w:val="32"/>
          <w:szCs w:val="32"/>
          <w:highlight w:val="none"/>
          <w:lang w:val="en-US" w:eastAsia="zh-CN"/>
        </w:rPr>
        <w:t>2</w:t>
      </w:r>
      <w:r>
        <w:rPr>
          <w:rFonts w:hint="eastAsia" w:ascii="仿宋_GB2312" w:hAnsi="仿宋_GB2312" w:eastAsia="仿宋_GB2312" w:cs="仿宋_GB2312"/>
          <w:color w:val="auto"/>
          <w:kern w:val="0"/>
          <w:sz w:val="32"/>
          <w:szCs w:val="32"/>
          <w:highlight w:val="none"/>
        </w:rPr>
        <w:t>.农业机械化管理处</w:t>
      </w:r>
    </w:p>
    <w:p>
      <w:pPr>
        <w:adjustRightInd w:val="0"/>
        <w:snapToGrid w:val="0"/>
        <w:spacing w:line="568" w:lineRule="exact"/>
        <w:ind w:firstLine="640" w:firstLineChars="200"/>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联 系 人：</w:t>
      </w:r>
      <w:r>
        <w:rPr>
          <w:rFonts w:hint="eastAsia" w:ascii="仿宋_GB2312" w:hAnsi="仿宋_GB2312" w:cs="仿宋_GB2312"/>
          <w:color w:val="auto"/>
          <w:kern w:val="0"/>
          <w:sz w:val="32"/>
          <w:szCs w:val="32"/>
          <w:highlight w:val="none"/>
          <w:lang w:eastAsia="zh-CN"/>
        </w:rPr>
        <w:t>胡兵文</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联系电话：</w:t>
      </w:r>
      <w:r>
        <w:rPr>
          <w:rFonts w:hint="eastAsia" w:ascii="仿宋_GB2312" w:hAnsi="仿宋_GB2312" w:cs="仿宋_GB2312"/>
          <w:color w:val="auto"/>
          <w:kern w:val="0"/>
          <w:sz w:val="32"/>
          <w:szCs w:val="32"/>
          <w:highlight w:val="none"/>
          <w:lang w:val="en-US" w:eastAsia="zh-CN"/>
        </w:rPr>
        <w:t>020-37288702</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br w:type="page"/>
      </w:r>
    </w:p>
    <w:p>
      <w:pPr>
        <w:adjustRightInd w:val="0"/>
        <w:snapToGrid w:val="0"/>
        <w:spacing w:line="590" w:lineRule="exact"/>
        <w:ind w:firstLine="0" w:firstLineChars="0"/>
        <w:outlineLvl w:val="9"/>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rPr>
        <w:t>附件</w:t>
      </w:r>
      <w:r>
        <w:rPr>
          <w:rFonts w:hint="eastAsia" w:ascii="黑体" w:hAnsi="黑体" w:eastAsia="黑体" w:cs="黑体"/>
          <w:color w:val="auto"/>
          <w:kern w:val="0"/>
          <w:sz w:val="32"/>
          <w:szCs w:val="32"/>
          <w:highlight w:val="none"/>
          <w:lang w:val="en-US" w:eastAsia="zh-CN"/>
        </w:rPr>
        <w:t>1-6</w:t>
      </w:r>
    </w:p>
    <w:p>
      <w:pPr>
        <w:adjustRightInd w:val="0"/>
        <w:snapToGrid w:val="0"/>
        <w:spacing w:line="590" w:lineRule="exact"/>
        <w:ind w:firstLine="643" w:firstLineChars="200"/>
        <w:jc w:val="both"/>
        <w:rPr>
          <w:rFonts w:hint="eastAsia" w:ascii="仿宋_GB2312" w:hAnsi="仿宋_GB2312" w:eastAsia="仿宋_GB2312" w:cs="仿宋_GB2312"/>
          <w:b/>
          <w:bCs/>
          <w:color w:val="auto"/>
          <w:kern w:val="0"/>
          <w:sz w:val="32"/>
          <w:szCs w:val="32"/>
          <w:highlight w:val="none"/>
        </w:rPr>
      </w:pPr>
    </w:p>
    <w:p>
      <w:pPr>
        <w:adjustRightInd w:val="0"/>
        <w:snapToGrid w:val="0"/>
        <w:spacing w:line="590" w:lineRule="exact"/>
        <w:ind w:firstLine="0" w:firstLineChars="0"/>
        <w:jc w:val="center"/>
        <w:outlineLvl w:val="9"/>
        <w:rPr>
          <w:rFonts w:hint="eastAsia" w:ascii="方正小标宋简体" w:hAnsi="方正小标宋简体" w:eastAsia="方正小标宋简体" w:cs="方正小标宋简体"/>
          <w:b w:val="0"/>
          <w:bCs w:val="0"/>
          <w:color w:val="auto"/>
          <w:kern w:val="0"/>
          <w:sz w:val="44"/>
          <w:szCs w:val="44"/>
          <w:highlight w:val="none"/>
        </w:rPr>
      </w:pPr>
      <w:r>
        <w:rPr>
          <w:rFonts w:hint="eastAsia" w:ascii="方正小标宋简体" w:hAnsi="方正小标宋简体" w:eastAsia="方正小标宋简体" w:cs="方正小标宋简体"/>
          <w:b w:val="0"/>
          <w:bCs w:val="0"/>
          <w:color w:val="auto"/>
          <w:kern w:val="0"/>
          <w:sz w:val="44"/>
          <w:szCs w:val="44"/>
          <w:highlight w:val="none"/>
        </w:rPr>
        <w:t>数字农业建设项目储备指南</w:t>
      </w:r>
    </w:p>
    <w:p>
      <w:pPr>
        <w:adjustRightInd w:val="0"/>
        <w:snapToGrid w:val="0"/>
        <w:spacing w:line="590" w:lineRule="exact"/>
        <w:ind w:firstLine="0" w:firstLineChars="0"/>
        <w:rPr>
          <w:rFonts w:hint="eastAsia" w:ascii="仿宋_GB2312" w:hAnsi="仿宋_GB2312" w:eastAsia="仿宋_GB2312" w:cs="仿宋_GB2312"/>
          <w:color w:val="auto"/>
          <w:kern w:val="0"/>
          <w:sz w:val="32"/>
          <w:szCs w:val="32"/>
          <w:highlight w:val="none"/>
        </w:rPr>
      </w:pP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依据《</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十四五</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数字农业建设规划》</w:t>
      </w:r>
      <w:r>
        <w:rPr>
          <w:rFonts w:hint="eastAsia" w:ascii="仿宋_GB2312" w:hAnsi="仿宋_GB2312" w:eastAsia="仿宋_GB2312" w:cs="仿宋_GB2312"/>
          <w:color w:val="auto"/>
          <w:kern w:val="0"/>
          <w:sz w:val="32"/>
          <w:szCs w:val="32"/>
          <w:highlight w:val="none"/>
          <w:lang w:eastAsia="zh-CN"/>
        </w:rPr>
        <w:t>（以下简称《规划》）和农业建设项目管理要求</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eastAsia="zh-CN"/>
        </w:rPr>
        <w:t>结合数字农业项目储备、申报实际情况，制定本指南。</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rPr>
        <w:t>一、国家农业农村大数据平台</w:t>
      </w:r>
      <w:r>
        <w:rPr>
          <w:rFonts w:hint="eastAsia" w:ascii="黑体" w:hAnsi="黑体" w:eastAsia="黑体" w:cs="黑体"/>
          <w:color w:val="auto"/>
          <w:kern w:val="0"/>
          <w:sz w:val="32"/>
          <w:szCs w:val="32"/>
          <w:highlight w:val="none"/>
          <w:lang w:val="en-US" w:eastAsia="zh-CN"/>
        </w:rPr>
        <w:t>建设工程</w:t>
      </w:r>
    </w:p>
    <w:p>
      <w:pPr>
        <w:keepNext w:val="0"/>
        <w:keepLines w:val="0"/>
        <w:pageBreakBefore w:val="0"/>
        <w:widowControl w:val="0"/>
        <w:wordWrap/>
        <w:overflowPunct/>
        <w:topLinePunct w:val="0"/>
        <w:bidi w:val="0"/>
        <w:adjustRightInd w:val="0"/>
        <w:snapToGrid w:val="0"/>
        <w:spacing w:line="590" w:lineRule="exact"/>
        <w:ind w:left="0" w:leftChars="0" w:right="0" w:firstLine="640" w:firstLineChars="200"/>
        <w:textAlignment w:val="auto"/>
        <w:rPr>
          <w:rFonts w:hint="eastAsia" w:ascii="楷体_GB2312" w:hAnsi="楷体_GB2312" w:eastAsia="楷体_GB2312" w:cs="楷体_GB2312"/>
          <w:b w:val="0"/>
          <w:bCs w:val="0"/>
          <w:color w:val="auto"/>
          <w:kern w:val="0"/>
          <w:sz w:val="32"/>
          <w:szCs w:val="32"/>
          <w:highlight w:val="none"/>
          <w:lang w:val="en-US" w:eastAsia="zh-CN"/>
        </w:rPr>
      </w:pPr>
      <w:r>
        <w:rPr>
          <w:rFonts w:hint="eastAsia" w:ascii="楷体_GB2312" w:hAnsi="楷体_GB2312" w:eastAsia="楷体_GB2312" w:cs="楷体_GB2312"/>
          <w:b w:val="0"/>
          <w:bCs w:val="0"/>
          <w:color w:val="auto"/>
          <w:kern w:val="0"/>
          <w:sz w:val="32"/>
          <w:szCs w:val="32"/>
          <w:highlight w:val="none"/>
          <w:lang w:eastAsia="zh-CN"/>
        </w:rPr>
        <w:t>（</w:t>
      </w:r>
      <w:r>
        <w:rPr>
          <w:rFonts w:hint="eastAsia" w:ascii="楷体_GB2312" w:hAnsi="楷体_GB2312" w:eastAsia="楷体_GB2312" w:cs="楷体_GB2312"/>
          <w:b w:val="0"/>
          <w:bCs w:val="0"/>
          <w:color w:val="auto"/>
          <w:kern w:val="0"/>
          <w:sz w:val="32"/>
          <w:szCs w:val="32"/>
          <w:highlight w:val="none"/>
          <w:lang w:val="en-US" w:eastAsia="zh-CN"/>
        </w:rPr>
        <w:t>一</w:t>
      </w:r>
      <w:r>
        <w:rPr>
          <w:rFonts w:hint="eastAsia" w:ascii="楷体_GB2312" w:hAnsi="楷体_GB2312" w:eastAsia="楷体_GB2312" w:cs="楷体_GB2312"/>
          <w:b w:val="0"/>
          <w:bCs w:val="0"/>
          <w:color w:val="auto"/>
          <w:kern w:val="0"/>
          <w:sz w:val="32"/>
          <w:szCs w:val="32"/>
          <w:highlight w:val="none"/>
          <w:lang w:eastAsia="zh-CN"/>
        </w:rPr>
        <w:t>）</w:t>
      </w:r>
      <w:r>
        <w:rPr>
          <w:rFonts w:hint="eastAsia" w:ascii="楷体_GB2312" w:hAnsi="楷体_GB2312" w:eastAsia="楷体_GB2312" w:cs="楷体_GB2312"/>
          <w:b w:val="0"/>
          <w:bCs w:val="0"/>
          <w:color w:val="auto"/>
          <w:kern w:val="0"/>
          <w:sz w:val="32"/>
          <w:szCs w:val="32"/>
          <w:highlight w:val="none"/>
          <w:lang w:val="en-US" w:eastAsia="zh-CN"/>
        </w:rPr>
        <w:t>建设要求</w:t>
      </w:r>
    </w:p>
    <w:p>
      <w:pPr>
        <w:keepNext w:val="0"/>
        <w:keepLines w:val="0"/>
        <w:pageBreakBefore w:val="0"/>
        <w:widowControl w:val="0"/>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依据国家政务信息化建设相关要求，统筹农业农村部大数据架构和信息系统建设总体设计，推动现代信息技术与农业农村深度融合发展,充分利用现有软硬件基础，完善国家农业农村大数据平台,实现数据资源共享、智能预警分析、提高农业农村领域管理服务能力和科学决策水平</w:t>
      </w:r>
      <w:r>
        <w:rPr>
          <w:rFonts w:hint="eastAsia" w:ascii="仿宋_GB2312" w:hAnsi="仿宋_GB2312" w:cs="仿宋_GB2312"/>
          <w:color w:val="auto"/>
          <w:kern w:val="0"/>
          <w:sz w:val="32"/>
          <w:szCs w:val="32"/>
          <w:highlight w:val="none"/>
          <w:lang w:eastAsia="zh-CN"/>
        </w:rPr>
        <w:t>。</w:t>
      </w:r>
    </w:p>
    <w:p>
      <w:pPr>
        <w:keepNext w:val="0"/>
        <w:keepLines w:val="0"/>
        <w:pageBreakBefore w:val="0"/>
        <w:widowControl w:val="0"/>
        <w:numPr>
          <w:ilvl w:val="0"/>
          <w:numId w:val="2"/>
        </w:numPr>
        <w:wordWrap/>
        <w:overflowPunct/>
        <w:topLinePunct w:val="0"/>
        <w:bidi w:val="0"/>
        <w:adjustRightInd w:val="0"/>
        <w:snapToGrid w:val="0"/>
        <w:spacing w:line="590" w:lineRule="exact"/>
        <w:ind w:left="0" w:leftChars="0" w:right="0" w:firstLine="640" w:firstLineChars="200"/>
        <w:textAlignment w:val="auto"/>
        <w:rPr>
          <w:rFonts w:hint="eastAsia" w:ascii="楷体_GB2312" w:hAnsi="楷体_GB2312" w:eastAsia="楷体_GB2312" w:cs="楷体_GB2312"/>
          <w:b w:val="0"/>
          <w:bCs w:val="0"/>
          <w:color w:val="auto"/>
          <w:kern w:val="0"/>
          <w:sz w:val="32"/>
          <w:szCs w:val="32"/>
          <w:highlight w:val="none"/>
          <w:lang w:val="en-US" w:eastAsia="zh-CN"/>
        </w:rPr>
      </w:pPr>
      <w:r>
        <w:rPr>
          <w:rFonts w:hint="eastAsia" w:ascii="楷体_GB2312" w:hAnsi="楷体_GB2312" w:eastAsia="楷体_GB2312" w:cs="楷体_GB2312"/>
          <w:b w:val="0"/>
          <w:bCs w:val="0"/>
          <w:color w:val="auto"/>
          <w:kern w:val="0"/>
          <w:sz w:val="32"/>
          <w:szCs w:val="32"/>
          <w:highlight w:val="none"/>
          <w:lang w:val="en-US" w:eastAsia="zh-CN"/>
        </w:rPr>
        <w:t>建设内容</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bCs/>
          <w:color w:val="auto"/>
          <w:kern w:val="0"/>
          <w:sz w:val="32"/>
          <w:szCs w:val="32"/>
          <w:highlight w:val="none"/>
          <w:lang w:val="en-US" w:eastAsia="zh-CN" w:bidi="ar-SA"/>
        </w:rPr>
        <w:t>1.</w:t>
      </w:r>
      <w:r>
        <w:rPr>
          <w:rFonts w:hint="eastAsia" w:ascii="仿宋_GB2312" w:hAnsi="仿宋_GB2312" w:eastAsia="仿宋_GB2312" w:cs="仿宋_GB2312"/>
          <w:b/>
          <w:bCs/>
          <w:color w:val="auto"/>
          <w:kern w:val="0"/>
          <w:sz w:val="32"/>
          <w:szCs w:val="32"/>
          <w:highlight w:val="none"/>
        </w:rPr>
        <w:t>改造提升大数据通用支撑系统、综合业务系统、农业农村科研协同创新平台</w:t>
      </w:r>
      <w:r>
        <w:rPr>
          <w:rFonts w:hint="eastAsia" w:ascii="仿宋_GB2312" w:hAnsi="仿宋_GB2312" w:eastAsia="仿宋_GB2312" w:cs="仿宋_GB2312"/>
          <w:b/>
          <w:bCs/>
          <w:color w:val="auto"/>
          <w:kern w:val="0"/>
          <w:sz w:val="32"/>
          <w:szCs w:val="32"/>
          <w:highlight w:val="none"/>
          <w:lang w:eastAsia="zh-CN"/>
        </w:rPr>
        <w:t>。</w:t>
      </w:r>
      <w:r>
        <w:rPr>
          <w:rFonts w:hint="eastAsia" w:ascii="仿宋_GB2312" w:hAnsi="仿宋_GB2312" w:eastAsia="仿宋_GB2312" w:cs="仿宋_GB2312"/>
          <w:b w:val="0"/>
          <w:bCs w:val="0"/>
          <w:color w:val="auto"/>
          <w:kern w:val="0"/>
          <w:sz w:val="32"/>
          <w:szCs w:val="32"/>
          <w:highlight w:val="none"/>
          <w:lang w:val="en-US" w:eastAsia="zh-CN"/>
        </w:rPr>
        <w:t>按照《规划》有关要求执行。</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b w:val="0"/>
          <w:bCs w:val="0"/>
          <w:color w:val="auto"/>
          <w:kern w:val="0"/>
          <w:sz w:val="32"/>
          <w:szCs w:val="32"/>
          <w:highlight w:val="none"/>
        </w:rPr>
      </w:pPr>
      <w:r>
        <w:rPr>
          <w:rFonts w:hint="eastAsia" w:ascii="仿宋_GB2312" w:hAnsi="仿宋_GB2312" w:eastAsia="仿宋_GB2312" w:cs="仿宋_GB2312"/>
          <w:b/>
          <w:bCs/>
          <w:color w:val="000000"/>
          <w:kern w:val="0"/>
          <w:sz w:val="32"/>
          <w:szCs w:val="32"/>
          <w:highlight w:val="none"/>
          <w:lang w:eastAsia="zh-CN"/>
        </w:rPr>
        <w:t>2</w:t>
      </w:r>
      <w:r>
        <w:rPr>
          <w:rFonts w:hint="eastAsia" w:ascii="仿宋_GB2312" w:hAnsi="仿宋_GB2312" w:eastAsia="仿宋_GB2312" w:cs="仿宋_GB2312"/>
          <w:b/>
          <w:bCs/>
          <w:color w:val="000000"/>
          <w:kern w:val="0"/>
          <w:sz w:val="32"/>
          <w:szCs w:val="32"/>
          <w:highlight w:val="none"/>
          <w:lang w:val="en-US" w:eastAsia="zh-CN"/>
        </w:rPr>
        <w:t>.</w:t>
      </w:r>
      <w:r>
        <w:rPr>
          <w:rFonts w:hint="eastAsia" w:ascii="仿宋_GB2312" w:hAnsi="仿宋_GB2312" w:eastAsia="仿宋_GB2312" w:cs="仿宋_GB2312"/>
          <w:b/>
          <w:bCs/>
          <w:color w:val="auto"/>
          <w:kern w:val="0"/>
          <w:sz w:val="32"/>
          <w:szCs w:val="32"/>
          <w:highlight w:val="none"/>
        </w:rPr>
        <w:t>单品种全产业链大数据分析应用中心。</w:t>
      </w:r>
      <w:r>
        <w:rPr>
          <w:rFonts w:hint="eastAsia" w:ascii="仿宋_GB2312" w:hAnsi="仿宋_GB2312" w:eastAsia="仿宋_GB2312" w:cs="仿宋_GB2312"/>
          <w:b w:val="0"/>
          <w:bCs w:val="0"/>
          <w:color w:val="auto"/>
          <w:kern w:val="0"/>
          <w:sz w:val="32"/>
          <w:szCs w:val="32"/>
          <w:highlight w:val="none"/>
        </w:rPr>
        <w:t>围绕重点品种市场分析预测和生产指导服务需求，提升单品种全产业链大数据分析预测能力，重点建设以下内容：（1）构建单品种全产业链专题数据库，汇聚生产、加工、储运、销售、消费、贸易、成本收益等数据资源。（2）建设单品种全产业链分析预测和决策服务系统，建立单品种全链条数据挖掘分析、智能决策模型，研发生产情况、市场形势、供需平衡等组件模块，实现产量预计、市场预测、政策评估、物流监测、消费监测、资源管理、病虫害预警、舆情分析等功能，提供单品种大数据定期分析报告和“在线实时查询”服务。（3）开发单品种大数据展示模块，实现单品种大数据可视化。</w:t>
      </w:r>
    </w:p>
    <w:p>
      <w:pPr>
        <w:keepNext w:val="0"/>
        <w:keepLines w:val="0"/>
        <w:pageBreakBefore w:val="0"/>
        <w:widowControl w:val="0"/>
        <w:numPr>
          <w:ilvl w:val="0"/>
          <w:numId w:val="0"/>
        </w:numPr>
        <w:wordWrap/>
        <w:overflowPunct/>
        <w:topLinePunct w:val="0"/>
        <w:bidi w:val="0"/>
        <w:adjustRightInd w:val="0"/>
        <w:snapToGrid w:val="0"/>
        <w:spacing w:line="590" w:lineRule="exact"/>
        <w:ind w:left="0" w:leftChars="0" w:right="0" w:rightChars="0" w:firstLine="640" w:firstLineChars="200"/>
        <w:textAlignment w:val="auto"/>
        <w:rPr>
          <w:rFonts w:hint="eastAsia" w:ascii="楷体_GB2312" w:hAnsi="楷体_GB2312" w:eastAsia="楷体_GB2312" w:cs="楷体_GB2312"/>
          <w:b w:val="0"/>
          <w:bCs w:val="0"/>
          <w:color w:val="auto"/>
          <w:kern w:val="0"/>
          <w:sz w:val="32"/>
          <w:szCs w:val="32"/>
          <w:highlight w:val="none"/>
          <w:lang w:val="en-US" w:eastAsia="zh-CN"/>
        </w:rPr>
      </w:pPr>
      <w:r>
        <w:rPr>
          <w:rFonts w:hint="eastAsia" w:ascii="楷体_GB2312" w:hAnsi="楷体_GB2312" w:eastAsia="楷体_GB2312" w:cs="楷体_GB2312"/>
          <w:b w:val="0"/>
          <w:bCs w:val="0"/>
          <w:color w:val="auto"/>
          <w:kern w:val="0"/>
          <w:sz w:val="32"/>
          <w:szCs w:val="32"/>
          <w:highlight w:val="none"/>
          <w:lang w:val="en-US" w:eastAsia="zh-CN" w:bidi="ar-SA"/>
        </w:rPr>
        <w:t>（三）</w:t>
      </w:r>
      <w:r>
        <w:rPr>
          <w:rFonts w:hint="eastAsia" w:ascii="楷体_GB2312" w:hAnsi="楷体_GB2312" w:eastAsia="楷体_GB2312" w:cs="楷体_GB2312"/>
          <w:b w:val="0"/>
          <w:bCs w:val="0"/>
          <w:color w:val="auto"/>
          <w:kern w:val="0"/>
          <w:sz w:val="32"/>
          <w:szCs w:val="32"/>
          <w:highlight w:val="none"/>
          <w:lang w:val="en-US" w:eastAsia="zh-CN"/>
        </w:rPr>
        <w:t>储备条件</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大数据通用支撑系统</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综合业务系统</w:t>
      </w:r>
      <w:r>
        <w:rPr>
          <w:rFonts w:hint="eastAsia" w:ascii="仿宋_GB2312" w:hAnsi="仿宋_GB2312" w:eastAsia="仿宋_GB2312" w:cs="仿宋_GB2312"/>
          <w:color w:val="000000"/>
          <w:kern w:val="0"/>
          <w:sz w:val="32"/>
          <w:szCs w:val="32"/>
          <w:highlight w:val="none"/>
        </w:rPr>
        <w:t>、科研协同创新平台</w:t>
      </w:r>
      <w:r>
        <w:rPr>
          <w:rFonts w:hint="eastAsia" w:ascii="仿宋_GB2312" w:hAnsi="仿宋_GB2312" w:eastAsia="仿宋_GB2312" w:cs="仿宋_GB2312"/>
          <w:color w:val="000000"/>
          <w:kern w:val="0"/>
          <w:sz w:val="32"/>
          <w:szCs w:val="32"/>
          <w:highlight w:val="none"/>
          <w:lang w:val="en-US" w:eastAsia="zh-CN"/>
        </w:rPr>
        <w:t>等</w:t>
      </w:r>
      <w:r>
        <w:rPr>
          <w:rFonts w:hint="eastAsia" w:ascii="仿宋_GB2312" w:hAnsi="仿宋_GB2312" w:eastAsia="仿宋_GB2312" w:cs="仿宋_GB2312"/>
          <w:color w:val="auto"/>
          <w:kern w:val="0"/>
          <w:sz w:val="32"/>
          <w:szCs w:val="32"/>
          <w:highlight w:val="none"/>
        </w:rPr>
        <w:t>项目申报单位为农业农村部派出机构、直属单位。</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单品种全产业链大数据分析应用中心申报单位为农业农村部直属单位、高等院校、省级科研院所，并同时具备以下基本条件：</w:t>
      </w:r>
      <w:r>
        <w:rPr>
          <w:rFonts w:hint="eastAsia" w:ascii="仿宋_GB2312" w:hAnsi="仿宋_GB2312" w:eastAsia="仿宋_GB2312" w:cs="仿宋_GB2312"/>
          <w:b w:val="0"/>
          <w:bCs w:val="0"/>
          <w:color w:val="auto"/>
          <w:kern w:val="0"/>
          <w:sz w:val="32"/>
          <w:szCs w:val="32"/>
          <w:highlight w:val="none"/>
        </w:rPr>
        <w:t>1.</w:t>
      </w:r>
      <w:r>
        <w:rPr>
          <w:rFonts w:hint="eastAsia" w:ascii="仿宋_GB2312" w:hAnsi="仿宋_GB2312" w:eastAsia="仿宋_GB2312" w:cs="仿宋_GB2312"/>
          <w:color w:val="auto"/>
          <w:kern w:val="0"/>
          <w:sz w:val="32"/>
          <w:szCs w:val="32"/>
          <w:highlight w:val="none"/>
          <w:lang w:val="en-US" w:eastAsia="zh-CN"/>
        </w:rPr>
        <w:t>具有稳定的数据获取渠道，</w:t>
      </w:r>
      <w:r>
        <w:rPr>
          <w:rFonts w:hint="eastAsia" w:ascii="仿宋_GB2312" w:hAnsi="仿宋_GB2312" w:eastAsia="仿宋_GB2312" w:cs="仿宋_GB2312"/>
          <w:b w:val="0"/>
          <w:bCs w:val="0"/>
          <w:color w:val="auto"/>
          <w:kern w:val="0"/>
          <w:sz w:val="32"/>
          <w:szCs w:val="32"/>
          <w:highlight w:val="none"/>
          <w:lang w:val="en-US" w:eastAsia="zh-CN"/>
        </w:rPr>
        <w:t>在本领域</w:t>
      </w:r>
      <w:r>
        <w:rPr>
          <w:rFonts w:hint="eastAsia" w:ascii="仿宋_GB2312" w:hAnsi="仿宋_GB2312" w:eastAsia="仿宋_GB2312" w:cs="仿宋_GB2312"/>
          <w:color w:val="auto"/>
          <w:kern w:val="0"/>
          <w:sz w:val="32"/>
          <w:szCs w:val="32"/>
          <w:highlight w:val="none"/>
        </w:rPr>
        <w:t>已掌握较为完整的</w:t>
      </w:r>
      <w:r>
        <w:rPr>
          <w:rFonts w:hint="eastAsia" w:ascii="仿宋_GB2312" w:hAnsi="仿宋_GB2312" w:eastAsia="仿宋_GB2312" w:cs="仿宋_GB2312"/>
          <w:color w:val="auto"/>
          <w:kern w:val="0"/>
          <w:sz w:val="32"/>
          <w:szCs w:val="32"/>
          <w:highlight w:val="none"/>
          <w:lang w:eastAsia="zh-CN"/>
        </w:rPr>
        <w:t>单品种</w:t>
      </w:r>
      <w:r>
        <w:rPr>
          <w:rFonts w:hint="eastAsia" w:ascii="仿宋_GB2312" w:hAnsi="仿宋_GB2312" w:eastAsia="仿宋_GB2312" w:cs="仿宋_GB2312"/>
          <w:color w:val="auto"/>
          <w:kern w:val="0"/>
          <w:sz w:val="32"/>
          <w:szCs w:val="32"/>
          <w:highlight w:val="none"/>
        </w:rPr>
        <w:t>生产、加工、消费、贸易等环节的数据资源；</w:t>
      </w:r>
      <w:r>
        <w:rPr>
          <w:rFonts w:hint="eastAsia" w:ascii="仿宋_GB2312" w:hAnsi="仿宋_GB2312" w:eastAsia="仿宋_GB2312" w:cs="仿宋_GB2312"/>
          <w:b w:val="0"/>
          <w:bCs w:val="0"/>
          <w:color w:val="auto"/>
          <w:kern w:val="0"/>
          <w:sz w:val="32"/>
          <w:szCs w:val="32"/>
          <w:highlight w:val="none"/>
        </w:rPr>
        <w:t>2.</w:t>
      </w:r>
      <w:r>
        <w:rPr>
          <w:rFonts w:hint="eastAsia" w:ascii="仿宋_GB2312" w:hAnsi="仿宋_GB2312" w:eastAsia="仿宋_GB2312" w:cs="仿宋_GB2312"/>
          <w:color w:val="auto"/>
          <w:kern w:val="0"/>
          <w:sz w:val="32"/>
          <w:szCs w:val="32"/>
          <w:highlight w:val="none"/>
        </w:rPr>
        <w:t>拥有高水平</w:t>
      </w:r>
      <w:r>
        <w:rPr>
          <w:rFonts w:hint="eastAsia" w:ascii="仿宋_GB2312" w:hAnsi="仿宋_GB2312" w:eastAsia="仿宋_GB2312" w:cs="仿宋_GB2312"/>
          <w:color w:val="auto"/>
          <w:kern w:val="0"/>
          <w:sz w:val="32"/>
          <w:szCs w:val="32"/>
          <w:highlight w:val="none"/>
          <w:lang w:val="en-US" w:eastAsia="zh-CN"/>
        </w:rPr>
        <w:t>人才</w:t>
      </w:r>
      <w:r>
        <w:rPr>
          <w:rFonts w:hint="eastAsia" w:ascii="仿宋_GB2312" w:hAnsi="仿宋_GB2312" w:eastAsia="仿宋_GB2312" w:cs="仿宋_GB2312"/>
          <w:color w:val="auto"/>
          <w:kern w:val="0"/>
          <w:sz w:val="32"/>
          <w:szCs w:val="32"/>
          <w:highlight w:val="none"/>
        </w:rPr>
        <w:t>队伍，在本领域具备国内领先的数据采集、挖掘、分析、服务能力；</w:t>
      </w:r>
      <w:r>
        <w:rPr>
          <w:rFonts w:hint="eastAsia" w:ascii="仿宋_GB2312" w:hAnsi="仿宋_GB2312" w:eastAsia="仿宋_GB2312" w:cs="仿宋_GB2312"/>
          <w:b w:val="0"/>
          <w:bCs w:val="0"/>
          <w:color w:val="auto"/>
          <w:kern w:val="0"/>
          <w:sz w:val="32"/>
          <w:szCs w:val="32"/>
          <w:highlight w:val="none"/>
        </w:rPr>
        <w:t>3.</w:t>
      </w:r>
      <w:r>
        <w:rPr>
          <w:rFonts w:hint="eastAsia" w:ascii="仿宋_GB2312" w:hAnsi="仿宋_GB2312" w:eastAsia="仿宋_GB2312" w:cs="仿宋_GB2312"/>
          <w:color w:val="auto"/>
          <w:kern w:val="0"/>
          <w:sz w:val="32"/>
          <w:szCs w:val="32"/>
          <w:highlight w:val="none"/>
        </w:rPr>
        <w:t>规章制度健全，运行机制良好</w:t>
      </w:r>
      <w:r>
        <w:rPr>
          <w:rFonts w:hint="eastAsia" w:ascii="仿宋_GB2312" w:hAnsi="仿宋_GB2312" w:eastAsia="仿宋_GB2312" w:cs="仿宋_GB2312"/>
          <w:color w:val="auto"/>
          <w:kern w:val="0"/>
          <w:sz w:val="32"/>
          <w:szCs w:val="32"/>
          <w:highlight w:val="none"/>
          <w:lang w:eastAsia="zh-CN"/>
        </w:rPr>
        <w:t>。</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单品种全产业链大数据分析应用中心申报单位还应研究部署以下工作，并在可行性研究报告中进行详细说明：1.</w:t>
      </w:r>
      <w:r>
        <w:rPr>
          <w:rFonts w:hint="eastAsia" w:ascii="仿宋_GB2312" w:hAnsi="仿宋_GB2312" w:eastAsia="仿宋_GB2312" w:cs="仿宋_GB2312"/>
          <w:color w:val="auto"/>
          <w:kern w:val="0"/>
          <w:sz w:val="32"/>
          <w:szCs w:val="32"/>
          <w:highlight w:val="none"/>
          <w:lang w:eastAsia="zh-CN"/>
        </w:rPr>
        <w:t>中心管理团队和管理机制</w:t>
      </w:r>
      <w:r>
        <w:rPr>
          <w:rFonts w:hint="eastAsia" w:ascii="仿宋_GB2312" w:hAnsi="仿宋_GB2312" w:eastAsia="仿宋_GB2312" w:cs="仿宋_GB2312"/>
          <w:color w:val="auto"/>
          <w:kern w:val="0"/>
          <w:sz w:val="32"/>
          <w:szCs w:val="32"/>
          <w:highlight w:val="none"/>
        </w:rPr>
        <w:t>；2.</w:t>
      </w:r>
      <w:r>
        <w:rPr>
          <w:rFonts w:hint="eastAsia" w:ascii="仿宋_GB2312" w:hAnsi="仿宋_GB2312" w:eastAsia="仿宋_GB2312" w:cs="仿宋_GB2312"/>
          <w:color w:val="auto"/>
          <w:kern w:val="0"/>
          <w:sz w:val="32"/>
          <w:szCs w:val="32"/>
          <w:highlight w:val="none"/>
          <w:lang w:eastAsia="zh-CN"/>
        </w:rPr>
        <w:t>数据共享机制</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3.形成的数据产品和数据服务考虑；4</w:t>
      </w:r>
      <w:r>
        <w:rPr>
          <w:rFonts w:hint="eastAsia" w:ascii="仿宋_GB2312" w:hAnsi="仿宋_GB2312" w:eastAsia="仿宋_GB2312" w:cs="仿宋_GB2312"/>
          <w:color w:val="auto"/>
          <w:kern w:val="0"/>
          <w:sz w:val="32"/>
          <w:szCs w:val="32"/>
          <w:highlight w:val="none"/>
        </w:rPr>
        <w:t>.软硬件平台运维、科研、人员、日常运转等各项经费保障初步安排</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5.承诺遵守关于单品种全产业链大数据分析应用中心的相关制度规定</w:t>
      </w:r>
      <w:r>
        <w:rPr>
          <w:rFonts w:hint="eastAsia" w:ascii="仿宋_GB2312" w:hAnsi="仿宋_GB2312" w:eastAsia="仿宋_GB2312" w:cs="仿宋_GB2312"/>
          <w:color w:val="auto"/>
          <w:kern w:val="0"/>
          <w:sz w:val="32"/>
          <w:szCs w:val="32"/>
          <w:highlight w:val="none"/>
        </w:rPr>
        <w:t>。</w:t>
      </w:r>
    </w:p>
    <w:p>
      <w:pPr>
        <w:pStyle w:val="6"/>
        <w:adjustRightInd w:val="0"/>
        <w:snapToGrid w:val="0"/>
        <w:spacing w:line="590" w:lineRule="exact"/>
        <w:ind w:firstLine="640" w:firstLineChars="200"/>
        <w:rPr>
          <w:rFonts w:hint="eastAsia"/>
        </w:rPr>
      </w:pPr>
      <w:r>
        <w:rPr>
          <w:rFonts w:hint="eastAsia" w:ascii="仿宋_GB2312" w:hAnsi="仿宋_GB2312" w:cs="仿宋_GB2312"/>
          <w:color w:val="auto"/>
          <w:kern w:val="0"/>
          <w:szCs w:val="32"/>
          <w:highlight w:val="none"/>
        </w:rPr>
        <w:t>2025</w:t>
      </w:r>
      <w:r>
        <w:rPr>
          <w:rFonts w:hint="eastAsia"/>
        </w:rPr>
        <w:t>年计划支持小麦、玉米、马铃薯、柑橘、热带水果、蔬菜、食用菌、花卉、中药材、生猪、肉鸡、肉牛、羊、禽蛋、奶牛、鱼、虾、蟹、贝、农药、兽药等品类的单品种全产业链大数据分析应用中心。</w:t>
      </w:r>
    </w:p>
    <w:p>
      <w:pPr>
        <w:kinsoku/>
        <w:adjustRightInd w:val="0"/>
        <w:snapToGrid w:val="0"/>
        <w:spacing w:line="590" w:lineRule="exact"/>
        <w:ind w:firstLine="640" w:firstLineChars="200"/>
        <w:rPr>
          <w:rFonts w:hint="eastAsia" w:ascii="仿宋_GB2312" w:hAnsi="仿宋_GB2312" w:cs="仿宋_GB2312"/>
          <w:color w:val="auto"/>
          <w:kern w:val="0"/>
          <w:highlight w:val="none"/>
        </w:rPr>
      </w:pPr>
      <w:r>
        <w:rPr>
          <w:rFonts w:hint="eastAsia" w:ascii="仿宋_GB2312" w:hAnsi="仿宋_GB2312" w:eastAsia="仿宋_GB2312" w:cs="仿宋_GB2312"/>
          <w:color w:val="auto"/>
          <w:kern w:val="0"/>
          <w:sz w:val="32"/>
          <w:szCs w:val="32"/>
          <w:highlight w:val="none"/>
        </w:rPr>
        <w:t>国家农业农村大数据平台</w:t>
      </w:r>
      <w:r>
        <w:rPr>
          <w:rFonts w:hint="eastAsia" w:ascii="仿宋_GB2312" w:hAnsi="仿宋_GB2312" w:eastAsia="仿宋_GB2312" w:cs="仿宋_GB2312"/>
          <w:color w:val="auto"/>
          <w:kern w:val="0"/>
          <w:sz w:val="32"/>
          <w:szCs w:val="32"/>
          <w:highlight w:val="none"/>
          <w:lang w:eastAsia="zh-CN"/>
        </w:rPr>
        <w:t>类项目，申报前请先与农业农村部市场与信息化司沟通。</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楷体_GB2312" w:hAnsi="楷体_GB2312" w:eastAsia="楷体_GB2312" w:cs="楷体_GB2312"/>
          <w:b w:val="0"/>
          <w:bCs w:val="0"/>
          <w:color w:val="000000"/>
          <w:kern w:val="0"/>
          <w:sz w:val="32"/>
          <w:szCs w:val="32"/>
          <w:highlight w:val="none"/>
        </w:rPr>
      </w:pPr>
      <w:r>
        <w:rPr>
          <w:rFonts w:hint="eastAsia" w:ascii="楷体_GB2312" w:hAnsi="楷体_GB2312" w:eastAsia="楷体_GB2312" w:cs="楷体_GB2312"/>
          <w:b w:val="0"/>
          <w:bCs w:val="0"/>
          <w:color w:val="000000"/>
          <w:kern w:val="0"/>
          <w:sz w:val="32"/>
          <w:szCs w:val="32"/>
          <w:highlight w:val="none"/>
        </w:rPr>
        <w:t>（</w:t>
      </w:r>
      <w:r>
        <w:rPr>
          <w:rFonts w:hint="eastAsia" w:ascii="楷体_GB2312" w:hAnsi="楷体_GB2312" w:eastAsia="楷体_GB2312" w:cs="楷体_GB2312"/>
          <w:b w:val="0"/>
          <w:bCs w:val="0"/>
          <w:color w:val="000000"/>
          <w:kern w:val="0"/>
          <w:sz w:val="32"/>
          <w:szCs w:val="32"/>
          <w:highlight w:val="none"/>
          <w:lang w:val="en-US" w:eastAsia="zh-CN"/>
        </w:rPr>
        <w:t>四</w:t>
      </w:r>
      <w:r>
        <w:rPr>
          <w:rFonts w:hint="eastAsia" w:ascii="楷体_GB2312" w:hAnsi="楷体_GB2312" w:eastAsia="楷体_GB2312" w:cs="楷体_GB2312"/>
          <w:b w:val="0"/>
          <w:bCs w:val="0"/>
          <w:color w:val="000000"/>
          <w:kern w:val="0"/>
          <w:sz w:val="32"/>
          <w:szCs w:val="32"/>
          <w:highlight w:val="none"/>
        </w:rPr>
        <w:t>）中央投资规模</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单品种全产业链大数据分析应用中心申报单位为农业农村部派出机构、直属单位、中央直属高校的,中央投资比例为100%;申报单位为省级科研院所、地方所属高校的,中央投资比例按照东、中、西部、东北地区分别不超过核定总投资的70%、80%、90%、90%,且不超过1000万元。其他项目中央投资比例为100%。</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spacing w:val="0"/>
          <w:kern w:val="0"/>
          <w:sz w:val="32"/>
          <w:szCs w:val="32"/>
          <w:highlight w:val="none"/>
        </w:rPr>
        <w:t>二、</w:t>
      </w:r>
      <w:r>
        <w:rPr>
          <w:rFonts w:hint="eastAsia" w:ascii="黑体" w:hAnsi="黑体" w:eastAsia="黑体" w:cs="黑体"/>
          <w:color w:val="auto"/>
          <w:kern w:val="0"/>
          <w:sz w:val="32"/>
          <w:szCs w:val="32"/>
          <w:highlight w:val="none"/>
        </w:rPr>
        <w:t>国家数字农业创新中心</w:t>
      </w:r>
      <w:r>
        <w:rPr>
          <w:rFonts w:hint="eastAsia" w:ascii="黑体" w:hAnsi="黑体" w:eastAsia="黑体" w:cs="黑体"/>
          <w:color w:val="auto"/>
          <w:kern w:val="0"/>
          <w:sz w:val="32"/>
          <w:szCs w:val="32"/>
          <w:highlight w:val="none"/>
          <w:lang w:val="en-US" w:eastAsia="zh-CN"/>
        </w:rPr>
        <w:t>建设工程</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楷体_GB2312" w:hAnsi="楷体_GB2312" w:eastAsia="楷体_GB2312" w:cs="楷体_GB2312"/>
          <w:b w:val="0"/>
          <w:bCs w:val="0"/>
          <w:color w:val="auto"/>
          <w:kern w:val="0"/>
          <w:sz w:val="32"/>
          <w:szCs w:val="32"/>
          <w:highlight w:val="none"/>
          <w:lang w:val="en-US" w:eastAsia="zh-CN"/>
        </w:rPr>
      </w:pPr>
      <w:r>
        <w:rPr>
          <w:rFonts w:hint="eastAsia" w:ascii="楷体_GB2312" w:hAnsi="楷体_GB2312" w:eastAsia="楷体_GB2312" w:cs="楷体_GB2312"/>
          <w:b w:val="0"/>
          <w:bCs w:val="0"/>
          <w:color w:val="auto"/>
          <w:kern w:val="0"/>
          <w:sz w:val="32"/>
          <w:szCs w:val="32"/>
          <w:highlight w:val="none"/>
        </w:rPr>
        <w:t>（一）</w:t>
      </w:r>
      <w:r>
        <w:rPr>
          <w:rFonts w:hint="eastAsia" w:ascii="楷体_GB2312" w:hAnsi="楷体_GB2312" w:eastAsia="楷体_GB2312" w:cs="楷体_GB2312"/>
          <w:b w:val="0"/>
          <w:bCs w:val="0"/>
          <w:color w:val="auto"/>
          <w:kern w:val="0"/>
          <w:sz w:val="32"/>
          <w:szCs w:val="32"/>
          <w:highlight w:val="none"/>
          <w:lang w:val="en-US" w:eastAsia="zh-CN"/>
        </w:rPr>
        <w:t>建设要求</w:t>
      </w:r>
    </w:p>
    <w:p>
      <w:pPr>
        <w:keepNext w:val="0"/>
        <w:keepLines w:val="0"/>
        <w:pageBreakBefore w:val="0"/>
        <w:widowControl w:val="0"/>
        <w:wordWrap/>
        <w:overflowPunct/>
        <w:topLinePunct w:val="0"/>
        <w:bidi w:val="0"/>
        <w:adjustRightInd w:val="0"/>
        <w:snapToGrid w:val="0"/>
        <w:spacing w:line="590" w:lineRule="exact"/>
        <w:ind w:left="0" w:leftChars="0" w:right="0"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国家数字农业创新中心。</w:t>
      </w:r>
      <w:r>
        <w:rPr>
          <w:rFonts w:hint="eastAsia" w:ascii="仿宋_GB2312" w:hAnsi="仿宋_GB2312" w:eastAsia="仿宋_GB2312" w:cs="仿宋_GB2312"/>
          <w:color w:val="auto"/>
          <w:kern w:val="0"/>
          <w:sz w:val="32"/>
          <w:szCs w:val="32"/>
          <w:highlight w:val="none"/>
        </w:rPr>
        <w:t>面向农业农村数字化应用创新重大需求，跟踪数字技术创新前沿，开展基础共性、战略性、前沿性智慧农业技术研究，重点研发具有自主知识产权的智慧农业创新技术产品；承担农业农村信息化领域基础共性关键标准与通用技术规范的制修订，推动建立智慧农业技术标准体系；牵头组织本领域创新分中心及相关单位，提出中长期技术攻关路线图，推动协同创新和成果转化推广，为国家农业农村大数据平台和国家数字农业创新应用基地建设提供技术支撑。</w:t>
      </w:r>
    </w:p>
    <w:p>
      <w:pPr>
        <w:keepNext w:val="0"/>
        <w:keepLines w:val="0"/>
        <w:pageBreakBefore w:val="0"/>
        <w:widowControl w:val="0"/>
        <w:wordWrap/>
        <w:overflowPunct/>
        <w:topLinePunct w:val="0"/>
        <w:bidi w:val="0"/>
        <w:adjustRightInd w:val="0"/>
        <w:snapToGrid w:val="0"/>
        <w:spacing w:line="590" w:lineRule="exact"/>
        <w:ind w:left="0" w:leftChars="0" w:right="0"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国家数字农业创新分中心。</w:t>
      </w:r>
      <w:r>
        <w:rPr>
          <w:rFonts w:hint="eastAsia" w:ascii="仿宋_GB2312" w:hAnsi="仿宋_GB2312" w:eastAsia="仿宋_GB2312" w:cs="仿宋_GB2312"/>
          <w:color w:val="auto"/>
          <w:kern w:val="0"/>
          <w:sz w:val="32"/>
          <w:szCs w:val="32"/>
          <w:highlight w:val="none"/>
        </w:rPr>
        <w:t>分为分品种创新分中心、分区域创新分中心两大类。</w:t>
      </w:r>
      <w:r>
        <w:rPr>
          <w:rFonts w:hint="eastAsia" w:ascii="仿宋_GB2312" w:hAnsi="仿宋_GB2312" w:eastAsia="仿宋_GB2312" w:cs="仿宋_GB2312"/>
          <w:b/>
          <w:bCs/>
          <w:color w:val="auto"/>
          <w:kern w:val="0"/>
          <w:sz w:val="32"/>
          <w:szCs w:val="32"/>
          <w:highlight w:val="none"/>
        </w:rPr>
        <w:t>分品种创新分中心</w:t>
      </w:r>
      <w:r>
        <w:rPr>
          <w:rFonts w:hint="eastAsia" w:ascii="仿宋_GB2312" w:hAnsi="仿宋_GB2312" w:eastAsia="仿宋_GB2312" w:cs="仿宋_GB2312"/>
          <w:color w:val="auto"/>
          <w:kern w:val="0"/>
          <w:sz w:val="32"/>
          <w:szCs w:val="32"/>
          <w:highlight w:val="none"/>
        </w:rPr>
        <w:t>主要聚焦特定品种应用场景的差异化需求，针对本专业领域智慧农业产品和技术应用短板，开展基础性、关键性、引领性技术研究，研发先进适用、特色专用的具有自主知识产权的智慧农业技术产品，形成特定品种智慧农业集成解决方案、应用服务模式和技术产品体系；承担本专业领域智慧农业标准与通用技术规范的制修订，提出本专业领域中长期技术攻关路线图；推动本专业领域成果转化，协同创新中心推动国家数字农业创新应用基地建设。</w:t>
      </w:r>
      <w:r>
        <w:rPr>
          <w:rFonts w:hint="eastAsia" w:ascii="仿宋_GB2312" w:hAnsi="仿宋_GB2312" w:eastAsia="仿宋_GB2312" w:cs="仿宋_GB2312"/>
          <w:b/>
          <w:bCs/>
          <w:color w:val="auto"/>
          <w:kern w:val="0"/>
          <w:sz w:val="32"/>
          <w:szCs w:val="32"/>
          <w:highlight w:val="none"/>
        </w:rPr>
        <w:t>分区域创新分中心</w:t>
      </w:r>
      <w:r>
        <w:rPr>
          <w:rFonts w:hint="eastAsia" w:ascii="仿宋_GB2312" w:hAnsi="仿宋_GB2312" w:eastAsia="仿宋_GB2312" w:cs="仿宋_GB2312"/>
          <w:color w:val="auto"/>
          <w:kern w:val="0"/>
          <w:sz w:val="32"/>
          <w:szCs w:val="32"/>
          <w:highlight w:val="none"/>
        </w:rPr>
        <w:t>主要聚焦特定区域应用场景的差异化需求，对创新中心、分品种创新分中心的数字技术与产品进行本地化调试、改造，研发适用本区域特色品种的数字技术与产品，协同创新中心推动国家数字农业创新应用基地建设。</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（二）建设内容</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聚焦</w:t>
      </w:r>
      <w:r>
        <w:rPr>
          <w:rFonts w:hint="eastAsia" w:ascii="仿宋_GB2312" w:hAnsi="仿宋_GB2312" w:eastAsia="仿宋_GB2312" w:cs="仿宋_GB2312"/>
          <w:color w:val="000000"/>
          <w:kern w:val="0"/>
          <w:sz w:val="32"/>
          <w:szCs w:val="32"/>
          <w:highlight w:val="none"/>
          <w:lang w:val="en-US" w:eastAsia="zh-CN"/>
        </w:rPr>
        <w:t>智慧</w:t>
      </w:r>
      <w:r>
        <w:rPr>
          <w:rFonts w:hint="eastAsia" w:ascii="仿宋_GB2312" w:hAnsi="仿宋_GB2312" w:eastAsia="仿宋_GB2312" w:cs="仿宋_GB2312"/>
          <w:color w:val="000000"/>
          <w:kern w:val="0"/>
          <w:sz w:val="32"/>
          <w:szCs w:val="32"/>
          <w:highlight w:val="none"/>
        </w:rPr>
        <w:t>农业产品的原始创新和引进消化吸收再创新，充分利用现有基础，针对本项目定位，购置升级与</w:t>
      </w:r>
      <w:r>
        <w:rPr>
          <w:rFonts w:hint="eastAsia" w:ascii="仿宋_GB2312" w:hAnsi="仿宋_GB2312" w:eastAsia="仿宋_GB2312" w:cs="仿宋_GB2312"/>
          <w:color w:val="000000"/>
          <w:kern w:val="0"/>
          <w:sz w:val="32"/>
          <w:szCs w:val="32"/>
          <w:highlight w:val="none"/>
          <w:lang w:val="en-US" w:eastAsia="zh-CN"/>
        </w:rPr>
        <w:t>智慧</w:t>
      </w:r>
      <w:r>
        <w:rPr>
          <w:rFonts w:hint="eastAsia" w:ascii="仿宋_GB2312" w:hAnsi="仿宋_GB2312" w:eastAsia="仿宋_GB2312" w:cs="仿宋_GB2312"/>
          <w:color w:val="000000"/>
          <w:kern w:val="0"/>
          <w:sz w:val="32"/>
          <w:szCs w:val="32"/>
          <w:highlight w:val="none"/>
        </w:rPr>
        <w:t>农业密切相关的专用科研软件、专用仪器设备、专用设施装置等，改造特定实验环境，搭建相关技术产品研发和集成创新平台。</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楷体_GB2312" w:hAnsi="楷体_GB2312" w:eastAsia="楷体_GB2312" w:cs="楷体_GB2312"/>
          <w:b w:val="0"/>
          <w:bCs w:val="0"/>
          <w:color w:val="000000"/>
          <w:kern w:val="0"/>
          <w:sz w:val="32"/>
          <w:szCs w:val="32"/>
          <w:highlight w:val="none"/>
          <w:lang w:val="en-US" w:eastAsia="zh-CN"/>
        </w:rPr>
      </w:pPr>
      <w:r>
        <w:rPr>
          <w:rFonts w:hint="eastAsia" w:ascii="楷体_GB2312" w:hAnsi="楷体_GB2312" w:eastAsia="楷体_GB2312" w:cs="楷体_GB2312"/>
          <w:b w:val="0"/>
          <w:bCs w:val="0"/>
          <w:color w:val="000000"/>
          <w:kern w:val="0"/>
          <w:sz w:val="32"/>
          <w:szCs w:val="32"/>
          <w:highlight w:val="none"/>
        </w:rPr>
        <w:t>（</w:t>
      </w:r>
      <w:r>
        <w:rPr>
          <w:rFonts w:hint="eastAsia" w:ascii="楷体_GB2312" w:hAnsi="楷体_GB2312" w:eastAsia="楷体_GB2312" w:cs="楷体_GB2312"/>
          <w:b w:val="0"/>
          <w:bCs w:val="0"/>
          <w:color w:val="000000"/>
          <w:kern w:val="0"/>
          <w:sz w:val="32"/>
          <w:szCs w:val="32"/>
          <w:highlight w:val="none"/>
          <w:lang w:val="en-US" w:eastAsia="zh-CN"/>
        </w:rPr>
        <w:t>三</w:t>
      </w:r>
      <w:r>
        <w:rPr>
          <w:rFonts w:hint="eastAsia" w:ascii="楷体_GB2312" w:hAnsi="楷体_GB2312" w:eastAsia="楷体_GB2312" w:cs="楷体_GB2312"/>
          <w:b w:val="0"/>
          <w:bCs w:val="0"/>
          <w:color w:val="000000"/>
          <w:kern w:val="0"/>
          <w:sz w:val="32"/>
          <w:szCs w:val="32"/>
          <w:highlight w:val="none"/>
        </w:rPr>
        <w:t>）</w:t>
      </w:r>
      <w:r>
        <w:rPr>
          <w:rFonts w:hint="eastAsia" w:ascii="楷体_GB2312" w:hAnsi="楷体_GB2312" w:eastAsia="楷体_GB2312" w:cs="楷体_GB2312"/>
          <w:b w:val="0"/>
          <w:bCs w:val="0"/>
          <w:color w:val="000000"/>
          <w:kern w:val="0"/>
          <w:sz w:val="32"/>
          <w:szCs w:val="32"/>
          <w:highlight w:val="none"/>
          <w:lang w:val="en-US" w:eastAsia="zh-CN"/>
        </w:rPr>
        <w:t>储备条件</w:t>
      </w:r>
    </w:p>
    <w:p>
      <w:pPr>
        <w:keepNext w:val="0"/>
        <w:keepLines w:val="0"/>
        <w:pageBreakBefore w:val="0"/>
        <w:widowControl w:val="0"/>
        <w:kinsoku/>
        <w:wordWrap/>
        <w:overflowPunct/>
        <w:topLinePunct w:val="0"/>
        <w:bidi w:val="0"/>
        <w:adjustRightInd w:val="0"/>
        <w:snapToGrid w:val="0"/>
        <w:spacing w:line="590" w:lineRule="exact"/>
        <w:ind w:left="0" w:leftChars="0" w:right="0"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国家数字农业创新中心</w:t>
      </w:r>
      <w:r>
        <w:rPr>
          <w:rFonts w:hint="eastAsia" w:ascii="仿宋_GB2312" w:hAnsi="仿宋_GB2312" w:eastAsia="仿宋_GB2312" w:cs="仿宋_GB2312"/>
          <w:bCs/>
          <w:color w:val="auto"/>
          <w:kern w:val="0"/>
          <w:sz w:val="32"/>
          <w:szCs w:val="32"/>
          <w:highlight w:val="none"/>
        </w:rPr>
        <w:t>申报单位为农业农村</w:t>
      </w:r>
      <w:r>
        <w:rPr>
          <w:rFonts w:hint="eastAsia" w:ascii="仿宋_GB2312" w:hAnsi="仿宋_GB2312" w:eastAsia="仿宋_GB2312" w:cs="仿宋_GB2312"/>
          <w:color w:val="auto"/>
          <w:kern w:val="0"/>
          <w:sz w:val="32"/>
          <w:szCs w:val="32"/>
          <w:highlight w:val="none"/>
        </w:rPr>
        <w:t>部直属单位、高等院校、省级科研院所</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color w:val="auto"/>
          <w:kern w:val="0"/>
          <w:sz w:val="32"/>
          <w:szCs w:val="32"/>
          <w:highlight w:val="none"/>
        </w:rPr>
        <w:t>并同时具备以下基本条件：</w:t>
      </w:r>
      <w:r>
        <w:rPr>
          <w:rFonts w:hint="eastAsia" w:ascii="仿宋_GB2312" w:hAnsi="仿宋_GB2312" w:eastAsia="仿宋_GB2312" w:cs="仿宋_GB2312"/>
          <w:b/>
          <w:bCs/>
          <w:color w:val="auto"/>
          <w:kern w:val="0"/>
          <w:sz w:val="32"/>
          <w:szCs w:val="32"/>
          <w:highlight w:val="none"/>
        </w:rPr>
        <w:t>1.</w:t>
      </w:r>
      <w:r>
        <w:rPr>
          <w:rFonts w:hint="eastAsia" w:ascii="仿宋_GB2312" w:hAnsi="仿宋_GB2312" w:eastAsia="仿宋_GB2312" w:cs="仿宋_GB2312"/>
          <w:bCs/>
          <w:color w:val="auto"/>
          <w:kern w:val="0"/>
          <w:sz w:val="32"/>
          <w:szCs w:val="32"/>
          <w:highlight w:val="none"/>
        </w:rPr>
        <w:t>在本领域数字化技术研发处于国内领先地位，具备国家级</w:t>
      </w:r>
      <w:r>
        <w:rPr>
          <w:rFonts w:hint="eastAsia" w:ascii="仿宋_GB2312" w:hAnsi="仿宋_GB2312" w:eastAsia="仿宋_GB2312" w:cs="仿宋_GB2312"/>
          <w:color w:val="auto"/>
          <w:kern w:val="0"/>
          <w:sz w:val="32"/>
          <w:szCs w:val="32"/>
          <w:highlight w:val="none"/>
        </w:rPr>
        <w:t>科研实验条件，建有规模化的智慧农业研究示范基地和成果转化基地；</w:t>
      </w:r>
      <w:r>
        <w:rPr>
          <w:rFonts w:hint="eastAsia" w:ascii="仿宋_GB2312" w:hAnsi="仿宋_GB2312" w:eastAsia="仿宋_GB2312" w:cs="仿宋_GB2312"/>
          <w:b/>
          <w:bCs/>
          <w:color w:val="auto"/>
          <w:kern w:val="0"/>
          <w:sz w:val="32"/>
          <w:szCs w:val="32"/>
          <w:highlight w:val="none"/>
        </w:rPr>
        <w:t>2.</w:t>
      </w:r>
      <w:r>
        <w:rPr>
          <w:rFonts w:hint="eastAsia" w:ascii="仿宋_GB2312" w:hAnsi="仿宋_GB2312" w:eastAsia="仿宋_GB2312" w:cs="仿宋_GB2312"/>
          <w:color w:val="auto"/>
          <w:kern w:val="0"/>
          <w:sz w:val="32"/>
          <w:szCs w:val="32"/>
          <w:highlight w:val="none"/>
        </w:rPr>
        <w:t>每年创新分中心投入本领域关键技术攻关的科研经费不低于500万元，专职研发人员不少于100人；</w:t>
      </w:r>
      <w:r>
        <w:rPr>
          <w:rFonts w:hint="eastAsia" w:ascii="仿宋_GB2312" w:hAnsi="仿宋_GB2312" w:eastAsia="仿宋_GB2312" w:cs="仿宋_GB2312"/>
          <w:b/>
          <w:bCs/>
          <w:color w:val="auto"/>
          <w:kern w:val="0"/>
          <w:sz w:val="32"/>
          <w:szCs w:val="32"/>
          <w:highlight w:val="none"/>
        </w:rPr>
        <w:t>3.</w:t>
      </w:r>
      <w:r>
        <w:rPr>
          <w:rFonts w:hint="eastAsia" w:ascii="仿宋_GB2312" w:hAnsi="仿宋_GB2312" w:eastAsia="仿宋_GB2312" w:cs="仿宋_GB2312"/>
          <w:color w:val="auto"/>
          <w:kern w:val="0"/>
          <w:sz w:val="32"/>
          <w:szCs w:val="32"/>
          <w:highlight w:val="none"/>
        </w:rPr>
        <w:t>拥有高水平科研队伍，具备承担本领域创新任务的能力；</w:t>
      </w:r>
      <w:r>
        <w:rPr>
          <w:rFonts w:hint="eastAsia" w:ascii="仿宋_GB2312" w:hAnsi="仿宋_GB2312" w:eastAsia="仿宋_GB2312" w:cs="仿宋_GB2312"/>
          <w:b/>
          <w:bCs/>
          <w:color w:val="auto"/>
          <w:kern w:val="0"/>
          <w:sz w:val="32"/>
          <w:szCs w:val="32"/>
          <w:highlight w:val="none"/>
        </w:rPr>
        <w:t>4.</w:t>
      </w:r>
      <w:r>
        <w:rPr>
          <w:rFonts w:hint="eastAsia" w:ascii="仿宋_GB2312" w:hAnsi="仿宋_GB2312" w:eastAsia="仿宋_GB2312" w:cs="仿宋_GB2312"/>
          <w:color w:val="auto"/>
          <w:kern w:val="0"/>
          <w:sz w:val="32"/>
          <w:szCs w:val="32"/>
          <w:highlight w:val="none"/>
        </w:rPr>
        <w:t>规章制度健全，运行机制良好。</w:t>
      </w:r>
    </w:p>
    <w:p>
      <w:pPr>
        <w:keepNext w:val="0"/>
        <w:keepLines w:val="0"/>
        <w:pageBreakBefore w:val="0"/>
        <w:widowControl w:val="0"/>
        <w:kinsoku/>
        <w:wordWrap/>
        <w:overflowPunct/>
        <w:topLinePunct w:val="0"/>
        <w:bidi w:val="0"/>
        <w:adjustRightInd w:val="0"/>
        <w:snapToGrid w:val="0"/>
        <w:spacing w:line="590" w:lineRule="exact"/>
        <w:ind w:left="0" w:leftChars="0" w:right="0"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国家数字农业分品种创新分中心和分区域创新分中心</w:t>
      </w:r>
      <w:r>
        <w:rPr>
          <w:rFonts w:hint="eastAsia" w:ascii="仿宋_GB2312" w:hAnsi="仿宋_GB2312" w:eastAsia="仿宋_GB2312" w:cs="仿宋_GB2312"/>
          <w:color w:val="auto"/>
          <w:kern w:val="0"/>
          <w:sz w:val="32"/>
          <w:szCs w:val="32"/>
          <w:highlight w:val="none"/>
        </w:rPr>
        <w:t>申报单位</w:t>
      </w:r>
      <w:r>
        <w:rPr>
          <w:rFonts w:hint="eastAsia" w:ascii="仿宋_GB2312" w:hAnsi="仿宋_GB2312" w:eastAsia="仿宋_GB2312" w:cs="仿宋_GB2312"/>
          <w:bCs/>
          <w:color w:val="auto"/>
          <w:kern w:val="0"/>
          <w:sz w:val="32"/>
          <w:szCs w:val="32"/>
          <w:highlight w:val="none"/>
        </w:rPr>
        <w:t>为</w:t>
      </w:r>
      <w:r>
        <w:rPr>
          <w:rFonts w:hint="eastAsia" w:ascii="仿宋_GB2312" w:hAnsi="仿宋_GB2312" w:eastAsia="仿宋_GB2312" w:cs="仿宋_GB2312"/>
          <w:color w:val="auto"/>
          <w:kern w:val="0"/>
          <w:sz w:val="32"/>
          <w:szCs w:val="32"/>
          <w:highlight w:val="none"/>
        </w:rPr>
        <w:t>农业农村部直属单位、高等院校、省级科研院所</w:t>
      </w:r>
      <w:r>
        <w:rPr>
          <w:rFonts w:hint="eastAsia" w:ascii="仿宋_GB2312" w:hAnsi="仿宋_GB2312" w:eastAsia="仿宋_GB2312" w:cs="仿宋_GB2312"/>
          <w:bCs/>
          <w:color w:val="auto"/>
          <w:kern w:val="0"/>
          <w:sz w:val="32"/>
          <w:szCs w:val="32"/>
          <w:highlight w:val="none"/>
        </w:rPr>
        <w:t>或相关企业，</w:t>
      </w:r>
      <w:r>
        <w:rPr>
          <w:rFonts w:hint="eastAsia" w:ascii="仿宋_GB2312" w:hAnsi="仿宋_GB2312" w:eastAsia="仿宋_GB2312" w:cs="仿宋_GB2312"/>
          <w:color w:val="auto"/>
          <w:kern w:val="0"/>
          <w:sz w:val="32"/>
          <w:szCs w:val="32"/>
          <w:highlight w:val="none"/>
        </w:rPr>
        <w:t>并同时具备以下基本条件：</w:t>
      </w:r>
      <w:r>
        <w:rPr>
          <w:rFonts w:hint="eastAsia" w:ascii="仿宋_GB2312" w:hAnsi="仿宋_GB2312" w:eastAsia="仿宋_GB2312" w:cs="仿宋_GB2312"/>
          <w:b/>
          <w:bCs/>
          <w:color w:val="auto"/>
          <w:kern w:val="0"/>
          <w:sz w:val="32"/>
          <w:szCs w:val="32"/>
          <w:highlight w:val="none"/>
        </w:rPr>
        <w:t>1.</w:t>
      </w:r>
      <w:r>
        <w:rPr>
          <w:rFonts w:hint="eastAsia" w:ascii="仿宋_GB2312" w:hAnsi="仿宋_GB2312" w:eastAsia="仿宋_GB2312" w:cs="仿宋_GB2312"/>
          <w:bCs/>
          <w:color w:val="auto"/>
          <w:kern w:val="0"/>
          <w:sz w:val="32"/>
          <w:szCs w:val="32"/>
          <w:highlight w:val="none"/>
        </w:rPr>
        <w:t>在本领域数字化技术研发处于国内先进地位，具备省级及以上</w:t>
      </w:r>
      <w:r>
        <w:rPr>
          <w:rFonts w:hint="eastAsia" w:ascii="仿宋_GB2312" w:hAnsi="仿宋_GB2312" w:eastAsia="仿宋_GB2312" w:cs="仿宋_GB2312"/>
          <w:color w:val="auto"/>
          <w:kern w:val="0"/>
          <w:sz w:val="32"/>
          <w:szCs w:val="32"/>
          <w:highlight w:val="none"/>
        </w:rPr>
        <w:t>科研实验条件，近三年承担过省级以上相关重大科研项目；</w:t>
      </w:r>
      <w:r>
        <w:rPr>
          <w:rFonts w:hint="eastAsia" w:ascii="仿宋_GB2312" w:hAnsi="仿宋_GB2312" w:eastAsia="仿宋_GB2312" w:cs="仿宋_GB2312"/>
          <w:b/>
          <w:bCs/>
          <w:color w:val="auto"/>
          <w:kern w:val="0"/>
          <w:sz w:val="32"/>
          <w:szCs w:val="32"/>
          <w:highlight w:val="none"/>
        </w:rPr>
        <w:t>2.</w:t>
      </w:r>
      <w:r>
        <w:rPr>
          <w:rFonts w:hint="eastAsia" w:ascii="仿宋_GB2312" w:hAnsi="仿宋_GB2312" w:eastAsia="仿宋_GB2312" w:cs="仿宋_GB2312"/>
          <w:color w:val="auto"/>
          <w:kern w:val="0"/>
          <w:sz w:val="32"/>
          <w:szCs w:val="32"/>
          <w:highlight w:val="none"/>
        </w:rPr>
        <w:t>每年创新分中心投入本领域关键技术攻关的科研经费不低于500万元，专职研发人员不少于100人（其中企业申报的创新分中心，每年创新分中心投入本领域关键技术攻关的科研经费不低于2000万元，专职研发人员不少于200人）；</w:t>
      </w:r>
      <w:r>
        <w:rPr>
          <w:rFonts w:hint="eastAsia" w:ascii="仿宋_GB2312" w:hAnsi="仿宋_GB2312" w:eastAsia="仿宋_GB2312" w:cs="仿宋_GB2312"/>
          <w:b/>
          <w:bCs/>
          <w:color w:val="auto"/>
          <w:kern w:val="0"/>
          <w:sz w:val="32"/>
          <w:szCs w:val="32"/>
          <w:highlight w:val="none"/>
        </w:rPr>
        <w:t>3.</w:t>
      </w:r>
      <w:r>
        <w:rPr>
          <w:rFonts w:hint="eastAsia" w:ascii="仿宋_GB2312" w:hAnsi="仿宋_GB2312" w:eastAsia="仿宋_GB2312" w:cs="仿宋_GB2312"/>
          <w:color w:val="auto"/>
          <w:kern w:val="0"/>
          <w:sz w:val="32"/>
          <w:szCs w:val="32"/>
          <w:highlight w:val="none"/>
        </w:rPr>
        <w:t>拥有较高水平科研队伍，具备承担本领域创新任务的能力；</w:t>
      </w:r>
      <w:r>
        <w:rPr>
          <w:rFonts w:hint="eastAsia" w:ascii="仿宋_GB2312" w:hAnsi="仿宋_GB2312" w:eastAsia="仿宋_GB2312" w:cs="仿宋_GB2312"/>
          <w:b/>
          <w:bCs/>
          <w:color w:val="auto"/>
          <w:kern w:val="0"/>
          <w:sz w:val="32"/>
          <w:szCs w:val="32"/>
          <w:highlight w:val="none"/>
        </w:rPr>
        <w:t>4.</w:t>
      </w:r>
      <w:r>
        <w:rPr>
          <w:rFonts w:hint="eastAsia" w:ascii="仿宋_GB2312" w:hAnsi="仿宋_GB2312" w:eastAsia="仿宋_GB2312" w:cs="仿宋_GB2312"/>
          <w:color w:val="auto"/>
          <w:kern w:val="0"/>
          <w:sz w:val="32"/>
          <w:szCs w:val="32"/>
          <w:highlight w:val="none"/>
        </w:rPr>
        <w:t>规章制度健全，运行机制良好。上述条件需要在可行性研究报告中进行阐述，并附相关证明材料。</w:t>
      </w:r>
    </w:p>
    <w:p>
      <w:pPr>
        <w:keepNext w:val="0"/>
        <w:keepLines w:val="0"/>
        <w:pageBreakBefore w:val="0"/>
        <w:widowControl w:val="0"/>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申报单位还应研究部署以下工作，并在可行性研究报告中进行详细说明：</w:t>
      </w:r>
      <w:r>
        <w:rPr>
          <w:rFonts w:hint="eastAsia" w:ascii="仿宋_GB2312" w:hAnsi="仿宋_GB2312" w:eastAsia="仿宋_GB2312" w:cs="仿宋_GB2312"/>
          <w:b/>
          <w:bCs/>
          <w:color w:val="auto"/>
          <w:kern w:val="0"/>
          <w:sz w:val="32"/>
          <w:szCs w:val="32"/>
          <w:highlight w:val="none"/>
        </w:rPr>
        <w:t>1.</w:t>
      </w:r>
      <w:r>
        <w:rPr>
          <w:rFonts w:hint="eastAsia" w:ascii="仿宋_GB2312" w:hAnsi="仿宋_GB2312" w:eastAsia="仿宋_GB2312" w:cs="仿宋_GB2312"/>
          <w:color w:val="auto"/>
          <w:kern w:val="0"/>
          <w:sz w:val="32"/>
          <w:szCs w:val="32"/>
          <w:highlight w:val="none"/>
        </w:rPr>
        <w:t>提出创新中心（分中心）日常管理和科研团队架构，包括中心主任（</w:t>
      </w:r>
      <w:r>
        <w:rPr>
          <w:rFonts w:hint="eastAsia" w:ascii="仿宋_GB2312" w:hAnsi="仿宋_GB2312" w:eastAsia="仿宋_GB2312" w:cs="仿宋_GB2312"/>
          <w:color w:val="auto"/>
          <w:kern w:val="0"/>
          <w:sz w:val="32"/>
          <w:szCs w:val="32"/>
          <w:highlight w:val="none"/>
          <w:lang w:eastAsia="zh-CN"/>
        </w:rPr>
        <w:t>负责中心</w:t>
      </w:r>
      <w:r>
        <w:rPr>
          <w:rFonts w:hint="eastAsia" w:ascii="仿宋_GB2312" w:hAnsi="仿宋_GB2312" w:eastAsia="仿宋_GB2312" w:cs="仿宋_GB2312"/>
          <w:color w:val="auto"/>
          <w:kern w:val="0"/>
          <w:sz w:val="32"/>
          <w:szCs w:val="32"/>
          <w:highlight w:val="none"/>
        </w:rPr>
        <w:t>行政管理）、技术委员会（负责</w:t>
      </w:r>
      <w:r>
        <w:rPr>
          <w:rFonts w:hint="eastAsia" w:ascii="仿宋_GB2312" w:hAnsi="仿宋_GB2312" w:eastAsia="仿宋_GB2312" w:cs="仿宋_GB2312"/>
          <w:color w:val="auto"/>
          <w:kern w:val="0"/>
          <w:sz w:val="32"/>
          <w:szCs w:val="32"/>
          <w:highlight w:val="none"/>
          <w:lang w:eastAsia="zh-CN"/>
        </w:rPr>
        <w:t>中心科研</w:t>
      </w:r>
      <w:r>
        <w:rPr>
          <w:rFonts w:hint="eastAsia" w:ascii="仿宋_GB2312" w:hAnsi="仿宋_GB2312" w:eastAsia="仿宋_GB2312" w:cs="仿宋_GB2312"/>
          <w:color w:val="auto"/>
          <w:kern w:val="0"/>
          <w:sz w:val="32"/>
          <w:szCs w:val="32"/>
          <w:highlight w:val="none"/>
        </w:rPr>
        <w:t>管理）及首席专家、科研团队分工及每个科研业务方向负责人初步考虑；</w:t>
      </w:r>
      <w:r>
        <w:rPr>
          <w:rFonts w:hint="eastAsia" w:ascii="仿宋_GB2312" w:hAnsi="仿宋_GB2312" w:eastAsia="仿宋_GB2312" w:cs="仿宋_GB2312"/>
          <w:b/>
          <w:bCs/>
          <w:color w:val="auto"/>
          <w:kern w:val="0"/>
          <w:sz w:val="32"/>
          <w:szCs w:val="32"/>
          <w:highlight w:val="none"/>
        </w:rPr>
        <w:t>2.</w:t>
      </w:r>
      <w:r>
        <w:rPr>
          <w:rFonts w:hint="eastAsia" w:ascii="仿宋_GB2312" w:hAnsi="仿宋_GB2312" w:eastAsia="仿宋_GB2312" w:cs="仿宋_GB2312"/>
          <w:color w:val="auto"/>
          <w:kern w:val="0"/>
          <w:sz w:val="32"/>
          <w:szCs w:val="32"/>
          <w:highlight w:val="none"/>
        </w:rPr>
        <w:t>提出今后5年本领域数字农业技术攻关计划及实施路线图，预计可能取得的创新成果及呈现形式；</w:t>
      </w:r>
      <w:r>
        <w:rPr>
          <w:rFonts w:hint="eastAsia" w:ascii="仿宋_GB2312" w:hAnsi="仿宋_GB2312" w:eastAsia="仿宋_GB2312" w:cs="仿宋_GB2312"/>
          <w:b/>
          <w:bCs/>
          <w:color w:val="auto"/>
          <w:kern w:val="0"/>
          <w:sz w:val="32"/>
          <w:szCs w:val="32"/>
          <w:highlight w:val="none"/>
        </w:rPr>
        <w:t>3.</w:t>
      </w:r>
      <w:r>
        <w:rPr>
          <w:rFonts w:hint="eastAsia" w:ascii="仿宋_GB2312" w:hAnsi="仿宋_GB2312" w:eastAsia="仿宋_GB2312" w:cs="仿宋_GB2312"/>
          <w:color w:val="auto"/>
          <w:kern w:val="0"/>
          <w:sz w:val="32"/>
          <w:szCs w:val="32"/>
          <w:highlight w:val="none"/>
        </w:rPr>
        <w:t>根据本中心的功能定位，与相关领域创新中心、国家数字农业创新应用基地之间的合作考虑；</w:t>
      </w:r>
      <w:r>
        <w:rPr>
          <w:rFonts w:hint="eastAsia" w:ascii="仿宋_GB2312" w:hAnsi="仿宋_GB2312" w:eastAsia="仿宋_GB2312" w:cs="仿宋_GB2312"/>
          <w:b/>
          <w:bCs/>
          <w:color w:val="auto"/>
          <w:kern w:val="0"/>
          <w:sz w:val="32"/>
          <w:szCs w:val="32"/>
          <w:highlight w:val="none"/>
        </w:rPr>
        <w:t>4.</w:t>
      </w:r>
      <w:r>
        <w:rPr>
          <w:rFonts w:hint="eastAsia" w:ascii="仿宋_GB2312" w:hAnsi="仿宋_GB2312" w:eastAsia="仿宋_GB2312" w:cs="仿宋_GB2312"/>
          <w:color w:val="auto"/>
          <w:kern w:val="0"/>
          <w:sz w:val="32"/>
          <w:szCs w:val="32"/>
          <w:highlight w:val="none"/>
        </w:rPr>
        <w:t>提出今后5年中心软硬件平台运维、科研、人员、日常运转等各项经费保障初步安排</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b/>
          <w:bCs/>
          <w:color w:val="auto"/>
          <w:kern w:val="0"/>
          <w:sz w:val="32"/>
          <w:szCs w:val="32"/>
          <w:highlight w:val="none"/>
          <w:lang w:val="en-US" w:eastAsia="zh-CN"/>
        </w:rPr>
        <w:t>5.</w:t>
      </w:r>
      <w:r>
        <w:rPr>
          <w:rFonts w:hint="eastAsia" w:ascii="仿宋_GB2312" w:hAnsi="仿宋_GB2312" w:eastAsia="仿宋_GB2312" w:cs="仿宋_GB2312"/>
          <w:color w:val="auto"/>
          <w:kern w:val="0"/>
          <w:sz w:val="32"/>
          <w:szCs w:val="32"/>
          <w:highlight w:val="none"/>
          <w:lang w:val="en-US" w:eastAsia="zh-CN"/>
        </w:rPr>
        <w:t>承诺遵守关于创新中心（分中心）的相关制度规定</w:t>
      </w:r>
      <w:r>
        <w:rPr>
          <w:rFonts w:hint="eastAsia" w:ascii="仿宋_GB2312" w:hAnsi="仿宋_GB2312" w:eastAsia="仿宋_GB2312" w:cs="仿宋_GB2312"/>
          <w:color w:val="auto"/>
          <w:kern w:val="0"/>
          <w:sz w:val="32"/>
          <w:szCs w:val="32"/>
          <w:highlight w:val="none"/>
        </w:rPr>
        <w:t>。</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仿宋_GB2312" w:hAnsi="仿宋_GB2312" w:cs="仿宋_GB2312"/>
          <w:color w:val="000000"/>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2024年计划支持国家数字农产品加工流通创新中心,国家数字种植业(玉米、大豆、油料、糖料、马铃薯、热带水果)创新分中心,国家数字畜牧业(生猪、肉禽、肉牛、羊)创新分中心,国家数字设施农业(植物工厂、花卉)创新分中心,国家数字种业(动物育种)创新分中心,国家数字农业装备(农业传感器、智能农机北方、智能农机西南丘陵山地)创新分中心,国家数字农产品加工流通(质量安全追溯、区块链)创新分中心,国家数字农业区域(华北、西北、华东、华中、华南、长三角、大湾区)创新分中心。</w:t>
      </w:r>
      <w:r>
        <w:rPr>
          <w:rFonts w:hint="eastAsia" w:ascii="仿宋_GB2312" w:hAnsi="仿宋_GB2312" w:cs="仿宋_GB2312"/>
          <w:color w:val="auto"/>
          <w:kern w:val="0"/>
          <w:sz w:val="32"/>
          <w:szCs w:val="32"/>
          <w:highlight w:val="none"/>
          <w:lang w:val="en-US" w:eastAsia="zh-CN"/>
        </w:rPr>
        <w:t xml:space="preserve"> </w:t>
      </w:r>
      <w:r>
        <w:rPr>
          <w:rFonts w:hint="eastAsia" w:ascii="仿宋_GB2312" w:hAnsi="仿宋_GB2312" w:cs="仿宋_GB2312"/>
          <w:color w:val="000000"/>
          <w:kern w:val="0"/>
          <w:sz w:val="32"/>
          <w:szCs w:val="32"/>
          <w:highlight w:val="none"/>
          <w:lang w:val="en-US" w:eastAsia="zh-CN"/>
        </w:rPr>
        <w:t xml:space="preserve"> </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农业农村部直属单位、中央直属高校，每个独立法人单位申报项目总数不超过1个；属于地方项目的，每省（区、市）</w:t>
      </w:r>
      <w:r>
        <w:rPr>
          <w:rFonts w:hint="eastAsia" w:ascii="仿宋_GB2312" w:hAnsi="仿宋_GB2312" w:eastAsia="仿宋_GB2312" w:cs="仿宋_GB2312"/>
          <w:color w:val="000000"/>
          <w:kern w:val="0"/>
          <w:sz w:val="32"/>
          <w:szCs w:val="32"/>
          <w:highlight w:val="none"/>
          <w:lang w:val="en-US" w:eastAsia="zh-CN"/>
        </w:rPr>
        <w:t>每年</w:t>
      </w:r>
      <w:r>
        <w:rPr>
          <w:rFonts w:hint="eastAsia" w:ascii="仿宋_GB2312" w:hAnsi="仿宋_GB2312" w:eastAsia="仿宋_GB2312" w:cs="仿宋_GB2312"/>
          <w:color w:val="000000"/>
          <w:kern w:val="0"/>
          <w:sz w:val="32"/>
          <w:szCs w:val="32"/>
          <w:highlight w:val="none"/>
        </w:rPr>
        <w:t>申报数量不超过1个</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申报前请</w:t>
      </w:r>
      <w:r>
        <w:rPr>
          <w:rFonts w:hint="eastAsia" w:ascii="仿宋_GB2312" w:hAnsi="仿宋_GB2312" w:eastAsia="仿宋_GB2312" w:cs="仿宋_GB2312"/>
          <w:color w:val="000000"/>
          <w:kern w:val="0"/>
          <w:sz w:val="32"/>
          <w:szCs w:val="32"/>
          <w:highlight w:val="none"/>
        </w:rPr>
        <w:t>先与</w:t>
      </w:r>
      <w:r>
        <w:rPr>
          <w:rFonts w:hint="eastAsia" w:ascii="仿宋_GB2312" w:hAnsi="仿宋_GB2312" w:eastAsia="仿宋_GB2312" w:cs="仿宋_GB2312"/>
          <w:color w:val="000000"/>
          <w:kern w:val="0"/>
          <w:sz w:val="32"/>
          <w:szCs w:val="32"/>
          <w:highlight w:val="none"/>
          <w:lang w:val="en-US" w:eastAsia="zh-CN"/>
        </w:rPr>
        <w:t>农业农村部</w:t>
      </w:r>
      <w:r>
        <w:rPr>
          <w:rFonts w:hint="eastAsia" w:ascii="仿宋_GB2312" w:hAnsi="仿宋_GB2312" w:eastAsia="仿宋_GB2312" w:cs="仿宋_GB2312"/>
          <w:color w:val="000000"/>
          <w:kern w:val="0"/>
          <w:sz w:val="32"/>
          <w:szCs w:val="32"/>
          <w:highlight w:val="none"/>
        </w:rPr>
        <w:t>市场与信息化司沟通。</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楷体_GB2312" w:hAnsi="楷体_GB2312" w:eastAsia="楷体_GB2312" w:cs="楷体_GB2312"/>
          <w:b w:val="0"/>
          <w:bCs w:val="0"/>
          <w:color w:val="000000"/>
          <w:kern w:val="0"/>
          <w:sz w:val="32"/>
          <w:szCs w:val="32"/>
          <w:highlight w:val="none"/>
        </w:rPr>
      </w:pPr>
      <w:r>
        <w:rPr>
          <w:rFonts w:hint="eastAsia" w:ascii="楷体_GB2312" w:hAnsi="楷体_GB2312" w:eastAsia="楷体_GB2312" w:cs="楷体_GB2312"/>
          <w:b w:val="0"/>
          <w:bCs w:val="0"/>
          <w:color w:val="000000"/>
          <w:kern w:val="0"/>
          <w:sz w:val="32"/>
          <w:szCs w:val="32"/>
          <w:highlight w:val="none"/>
        </w:rPr>
        <w:t>（</w:t>
      </w:r>
      <w:r>
        <w:rPr>
          <w:rFonts w:hint="eastAsia" w:ascii="楷体_GB2312" w:hAnsi="楷体_GB2312" w:eastAsia="楷体_GB2312" w:cs="楷体_GB2312"/>
          <w:b w:val="0"/>
          <w:bCs w:val="0"/>
          <w:color w:val="000000"/>
          <w:kern w:val="0"/>
          <w:sz w:val="32"/>
          <w:szCs w:val="32"/>
          <w:highlight w:val="none"/>
          <w:lang w:val="en-US" w:eastAsia="zh-CN"/>
        </w:rPr>
        <w:t>四</w:t>
      </w:r>
      <w:r>
        <w:rPr>
          <w:rFonts w:hint="eastAsia" w:ascii="楷体_GB2312" w:hAnsi="楷体_GB2312" w:eastAsia="楷体_GB2312" w:cs="楷体_GB2312"/>
          <w:b w:val="0"/>
          <w:bCs w:val="0"/>
          <w:color w:val="000000"/>
          <w:kern w:val="0"/>
          <w:sz w:val="32"/>
          <w:szCs w:val="32"/>
          <w:highlight w:val="none"/>
        </w:rPr>
        <w:t>）中央投资规模</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创新中心和分品种创新分中心</w:t>
      </w:r>
      <w:r>
        <w:rPr>
          <w:rFonts w:hint="eastAsia" w:ascii="仿宋_GB2312" w:hAnsi="仿宋_GB2312" w:cs="仿宋_GB2312"/>
          <w:b/>
          <w:bCs/>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申报单位为农业农村部直属单位、中央直属高校的，中央预算内投资比例为100%，且不超过2000万元；申报单位为省级科研院所、地方所属高校的，中央预算内投资比例，按照东、中、西部、东北地区分别不超过核定总投资的70％、80%、90％、90%，且不超过2000万元；</w:t>
      </w:r>
      <w:r>
        <w:rPr>
          <w:rFonts w:hint="eastAsia" w:ascii="仿宋_GB2312" w:hAnsi="仿宋_GB2312" w:eastAsia="仿宋_GB2312" w:cs="仿宋_GB2312"/>
          <w:b/>
          <w:bCs/>
          <w:color w:val="auto"/>
          <w:kern w:val="0"/>
          <w:sz w:val="32"/>
          <w:szCs w:val="32"/>
          <w:highlight w:val="none"/>
        </w:rPr>
        <w:t>分区域创新分中心，</w:t>
      </w:r>
      <w:r>
        <w:rPr>
          <w:rFonts w:hint="eastAsia" w:ascii="仿宋_GB2312" w:hAnsi="仿宋_GB2312" w:eastAsia="仿宋_GB2312" w:cs="仿宋_GB2312"/>
          <w:color w:val="auto"/>
          <w:kern w:val="0"/>
          <w:sz w:val="32"/>
          <w:szCs w:val="32"/>
          <w:highlight w:val="none"/>
        </w:rPr>
        <w:t>申报单位为农业农村部直属单位、中央直属高校的,中央投资比例为100%,且不超过2000万元;申报单位为省级科研院所、地方所属高校的,中央投资支持比例不超过核定总投资的50%,且不超过1000万元。企业申报分品种创新分中心、分区域创新分中心的,按地方项目管理,中央投资比例不超过20%,且不超过600万元。</w:t>
      </w:r>
    </w:p>
    <w:p>
      <w:pPr>
        <w:keepNext w:val="0"/>
        <w:keepLines w:val="0"/>
        <w:pageBreakBefore w:val="0"/>
        <w:widowControl w:val="0"/>
        <w:wordWrap/>
        <w:overflowPunct/>
        <w:topLinePunct w:val="0"/>
        <w:bidi w:val="0"/>
        <w:adjustRightInd w:val="0"/>
        <w:snapToGrid w:val="0"/>
        <w:spacing w:line="590" w:lineRule="exact"/>
        <w:ind w:left="0" w:leftChars="0" w:right="0" w:firstLine="640" w:firstLineChars="200"/>
        <w:textAlignment w:val="auto"/>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三</w:t>
      </w:r>
      <w:r>
        <w:rPr>
          <w:rFonts w:hint="default" w:ascii="Times New Roman" w:hAnsi="Times New Roman" w:eastAsia="黑体" w:cs="Times New Roman"/>
          <w:color w:val="auto"/>
          <w:sz w:val="32"/>
          <w:szCs w:val="32"/>
          <w:highlight w:val="none"/>
        </w:rPr>
        <w:t>、联系方式</w:t>
      </w:r>
    </w:p>
    <w:p>
      <w:pPr>
        <w:keepNext w:val="0"/>
        <w:keepLines w:val="0"/>
        <w:pageBreakBefore w:val="0"/>
        <w:widowControl w:val="0"/>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市场与信息化处</w:t>
      </w:r>
    </w:p>
    <w:p>
      <w:pPr>
        <w:keepNext w:val="0"/>
        <w:keepLines w:val="0"/>
        <w:pageBreakBefore w:val="0"/>
        <w:widowControl w:val="0"/>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联 系 人：</w:t>
      </w:r>
      <w:r>
        <w:rPr>
          <w:rFonts w:hint="default" w:ascii="仿宋_GB2312" w:hAnsi="仿宋_GB2312" w:eastAsia="仿宋_GB2312" w:cs="仿宋_GB2312"/>
          <w:color w:val="auto"/>
          <w:kern w:val="0"/>
          <w:sz w:val="32"/>
          <w:szCs w:val="32"/>
          <w:highlight w:val="none"/>
          <w:lang w:val="en-US"/>
        </w:rPr>
        <w:t>杨鹏</w:t>
      </w:r>
    </w:p>
    <w:p>
      <w:pPr>
        <w:keepNext w:val="0"/>
        <w:keepLines w:val="0"/>
        <w:pageBreakBefore w:val="0"/>
        <w:widowControl w:val="0"/>
        <w:kinsoku/>
        <w:wordWrap/>
        <w:overflowPunct/>
        <w:topLinePunct w:val="0"/>
        <w:bidi w:val="0"/>
        <w:adjustRightInd w:val="0"/>
        <w:snapToGrid w:val="0"/>
        <w:spacing w:line="590" w:lineRule="exact"/>
        <w:ind w:right="0" w:firstLine="640" w:firstLineChars="200"/>
        <w:jc w:val="both"/>
        <w:textAlignment w:val="auto"/>
        <w:rPr>
          <w:rFonts w:hint="default"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联系电话：</w:t>
      </w:r>
      <w:r>
        <w:rPr>
          <w:rFonts w:hint="eastAsia" w:ascii="仿宋_GB2312" w:hAnsi="仿宋_GB2312" w:cs="仿宋_GB2312"/>
          <w:color w:val="auto"/>
          <w:kern w:val="0"/>
          <w:sz w:val="32"/>
          <w:szCs w:val="32"/>
          <w:highlight w:val="none"/>
          <w:lang w:val="en-US" w:eastAsia="zh-CN"/>
        </w:rPr>
        <w:t>020-</w:t>
      </w:r>
      <w:r>
        <w:rPr>
          <w:rFonts w:hint="eastAsia" w:ascii="仿宋_GB2312" w:hAnsi="仿宋_GB2312" w:eastAsia="仿宋_GB2312" w:cs="仿宋_GB2312"/>
          <w:color w:val="auto"/>
          <w:kern w:val="0"/>
          <w:sz w:val="32"/>
          <w:szCs w:val="32"/>
          <w:highlight w:val="none"/>
        </w:rPr>
        <w:t>3</w:t>
      </w:r>
      <w:r>
        <w:rPr>
          <w:rFonts w:hint="eastAsia" w:ascii="仿宋_GB2312" w:hAnsi="仿宋_GB2312" w:eastAsia="仿宋_GB2312" w:cs="仿宋_GB2312"/>
          <w:color w:val="auto"/>
          <w:kern w:val="0"/>
          <w:sz w:val="32"/>
          <w:szCs w:val="32"/>
          <w:highlight w:val="none"/>
          <w:lang w:eastAsia="zh-CN"/>
        </w:rPr>
        <w:t>728</w:t>
      </w:r>
      <w:r>
        <w:rPr>
          <w:rFonts w:hint="eastAsia" w:ascii="仿宋_GB2312" w:hAnsi="仿宋_GB2312" w:cs="仿宋_GB2312"/>
          <w:color w:val="auto"/>
          <w:kern w:val="0"/>
          <w:sz w:val="32"/>
          <w:szCs w:val="32"/>
          <w:highlight w:val="none"/>
          <w:lang w:val="en-US" w:eastAsia="zh-CN"/>
        </w:rPr>
        <w:t>9261</w:t>
      </w:r>
    </w:p>
    <w:p>
      <w:pPr>
        <w:pStyle w:val="2"/>
        <w:keepNext w:val="0"/>
        <w:keepLines w:val="0"/>
        <w:pageBreakBefore w:val="0"/>
        <w:widowControl w:val="0"/>
        <w:numPr>
          <w:ilvl w:val="0"/>
          <w:numId w:val="0"/>
        </w:numPr>
        <w:kinsoku/>
        <w:wordWrap/>
        <w:overflowPunct/>
        <w:topLinePunct w:val="0"/>
        <w:bidi w:val="0"/>
        <w:adjustRightInd w:val="0"/>
        <w:snapToGrid w:val="0"/>
        <w:spacing w:line="590" w:lineRule="exact"/>
        <w:ind w:right="0" w:firstLine="640" w:firstLineChars="200"/>
        <w:jc w:val="both"/>
        <w:textAlignment w:val="auto"/>
        <w:rPr>
          <w:rFonts w:hint="eastAsia" w:ascii="仿宋_GB2312" w:hAnsi="仿宋_GB2312" w:eastAsia="仿宋_GB2312" w:cs="仿宋_GB2312"/>
          <w:color w:val="auto"/>
          <w:kern w:val="0"/>
          <w:sz w:val="32"/>
          <w:szCs w:val="32"/>
          <w:highlight w:val="yellow"/>
        </w:rPr>
      </w:pPr>
    </w:p>
    <w:p>
      <w:pPr>
        <w:keepNext w:val="0"/>
        <w:keepLines w:val="0"/>
        <w:pageBreakBefore w:val="0"/>
        <w:widowControl w:val="0"/>
        <w:numPr>
          <w:ilvl w:val="0"/>
          <w:numId w:val="0"/>
        </w:numPr>
        <w:kinsoku/>
        <w:wordWrap/>
        <w:overflowPunct/>
        <w:topLinePunct w:val="0"/>
        <w:bidi w:val="0"/>
        <w:adjustRightInd w:val="0"/>
        <w:snapToGrid w:val="0"/>
        <w:spacing w:line="590" w:lineRule="exact"/>
        <w:ind w:right="0" w:firstLine="640" w:firstLineChars="200"/>
        <w:jc w:val="both"/>
        <w:textAlignment w:val="auto"/>
        <w:rPr>
          <w:rFonts w:hint="eastAsia" w:ascii="仿宋_GB2312" w:hAnsi="仿宋_GB2312" w:eastAsia="仿宋_GB2312" w:cs="仿宋_GB2312"/>
          <w:color w:val="auto"/>
          <w:kern w:val="0"/>
          <w:sz w:val="32"/>
          <w:szCs w:val="32"/>
          <w:highlight w:val="yellow"/>
        </w:rPr>
      </w:pPr>
    </w:p>
    <w:p>
      <w:pPr>
        <w:pStyle w:val="2"/>
        <w:keepNext w:val="0"/>
        <w:keepLines w:val="0"/>
        <w:pageBreakBefore w:val="0"/>
        <w:widowControl w:val="0"/>
        <w:numPr>
          <w:ilvl w:val="0"/>
          <w:numId w:val="0"/>
        </w:numPr>
        <w:kinsoku/>
        <w:wordWrap/>
        <w:overflowPunct/>
        <w:topLinePunct w:val="0"/>
        <w:bidi w:val="0"/>
        <w:adjustRightInd w:val="0"/>
        <w:snapToGrid w:val="0"/>
        <w:spacing w:line="590" w:lineRule="exact"/>
        <w:ind w:right="0" w:firstLine="640" w:firstLineChars="200"/>
        <w:jc w:val="both"/>
        <w:textAlignment w:val="auto"/>
        <w:rPr>
          <w:rFonts w:hint="eastAsia" w:ascii="仿宋_GB2312" w:hAnsi="仿宋_GB2312" w:eastAsia="仿宋_GB2312" w:cs="仿宋_GB2312"/>
          <w:color w:val="auto"/>
          <w:kern w:val="0"/>
          <w:sz w:val="32"/>
          <w:szCs w:val="32"/>
          <w:highlight w:val="yellow"/>
        </w:rPr>
      </w:pPr>
    </w:p>
    <w:p>
      <w:pPr>
        <w:keepNext w:val="0"/>
        <w:keepLines w:val="0"/>
        <w:pageBreakBefore w:val="0"/>
        <w:widowControl w:val="0"/>
        <w:numPr>
          <w:ilvl w:val="0"/>
          <w:numId w:val="0"/>
        </w:numPr>
        <w:kinsoku/>
        <w:wordWrap/>
        <w:overflowPunct/>
        <w:topLinePunct w:val="0"/>
        <w:bidi w:val="0"/>
        <w:adjustRightInd w:val="0"/>
        <w:snapToGrid w:val="0"/>
        <w:spacing w:line="590" w:lineRule="exact"/>
        <w:ind w:right="0" w:firstLine="640" w:firstLineChars="200"/>
        <w:jc w:val="both"/>
        <w:textAlignment w:val="auto"/>
        <w:rPr>
          <w:rFonts w:hint="eastAsia" w:ascii="仿宋_GB2312" w:hAnsi="仿宋_GB2312" w:eastAsia="仿宋_GB2312" w:cs="仿宋_GB2312"/>
          <w:color w:val="auto"/>
          <w:kern w:val="0"/>
          <w:sz w:val="32"/>
          <w:szCs w:val="32"/>
          <w:highlight w:val="yellow"/>
        </w:rPr>
      </w:pPr>
    </w:p>
    <w:p>
      <w:pPr>
        <w:pStyle w:val="2"/>
        <w:keepNext w:val="0"/>
        <w:keepLines w:val="0"/>
        <w:pageBreakBefore w:val="0"/>
        <w:widowControl w:val="0"/>
        <w:numPr>
          <w:ilvl w:val="0"/>
          <w:numId w:val="0"/>
        </w:numPr>
        <w:kinsoku/>
        <w:wordWrap/>
        <w:overflowPunct/>
        <w:topLinePunct w:val="0"/>
        <w:bidi w:val="0"/>
        <w:adjustRightInd w:val="0"/>
        <w:snapToGrid w:val="0"/>
        <w:spacing w:line="590" w:lineRule="exact"/>
        <w:ind w:right="0" w:firstLine="640" w:firstLineChars="200"/>
        <w:jc w:val="both"/>
        <w:textAlignment w:val="auto"/>
        <w:rPr>
          <w:rFonts w:hint="eastAsia" w:ascii="仿宋_GB2312" w:hAnsi="仿宋_GB2312" w:eastAsia="仿宋_GB2312" w:cs="仿宋_GB2312"/>
          <w:color w:val="auto"/>
          <w:kern w:val="0"/>
          <w:sz w:val="32"/>
          <w:szCs w:val="32"/>
          <w:highlight w:val="yellow"/>
        </w:rPr>
      </w:pPr>
    </w:p>
    <w:p>
      <w:pPr>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640" w:firstLineChars="200"/>
        <w:jc w:val="both"/>
        <w:rPr>
          <w:rFonts w:hint="eastAsia" w:ascii="黑体" w:hAnsi="黑体" w:eastAsia="黑体" w:cs="黑体"/>
          <w:i w:val="0"/>
          <w:iCs w:val="0"/>
          <w:color w:val="000000"/>
          <w:kern w:val="0"/>
          <w:sz w:val="32"/>
          <w:szCs w:val="32"/>
          <w:highlight w:val="none"/>
          <w:u w:val="none"/>
          <w:lang w:val="en-US" w:eastAsia="zh-CN"/>
        </w:rPr>
        <w:sectPr>
          <w:pgSz w:w="11906" w:h="16838"/>
          <w:pgMar w:top="1871" w:right="1531" w:bottom="1871" w:left="1531" w:header="851"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0" w:firstLineChars="0"/>
        <w:jc w:val="left"/>
        <w:rPr>
          <w:rFonts w:hint="eastAsia" w:ascii="黑体" w:hAnsi="黑体" w:eastAsia="黑体" w:cs="黑体"/>
          <w:i w:val="0"/>
          <w:iCs w:val="0"/>
          <w:color w:val="000000"/>
          <w:kern w:val="0"/>
          <w:sz w:val="32"/>
          <w:szCs w:val="32"/>
          <w:highlight w:val="none"/>
          <w:u w:val="none"/>
          <w:lang w:val="en-US" w:eastAsia="zh-CN"/>
        </w:rPr>
      </w:pPr>
      <w:r>
        <w:rPr>
          <w:rFonts w:hint="eastAsia" w:ascii="黑体" w:hAnsi="黑体" w:eastAsia="黑体" w:cs="黑体"/>
          <w:i w:val="0"/>
          <w:iCs w:val="0"/>
          <w:color w:val="000000"/>
          <w:kern w:val="0"/>
          <w:sz w:val="32"/>
          <w:szCs w:val="32"/>
          <w:highlight w:val="none"/>
          <w:u w:val="none"/>
          <w:lang w:val="en-US" w:eastAsia="zh-CN"/>
        </w:rPr>
        <w:t>附件2</w:t>
      </w:r>
    </w:p>
    <w:p>
      <w:pPr>
        <w:pStyle w:val="10"/>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560" w:firstLineChars="200"/>
        <w:jc w:val="both"/>
        <w:rPr>
          <w:rFonts w:hint="eastAsia" w:ascii="仿宋_GB2312" w:hAnsi="仿宋_GB2312" w:eastAsia="仿宋_GB2312" w:cs="仿宋_GB2312"/>
          <w:i w:val="0"/>
          <w:iCs w:val="0"/>
          <w:color w:val="000000"/>
          <w:kern w:val="0"/>
          <w:sz w:val="28"/>
          <w:szCs w:val="28"/>
          <w:highlight w:val="none"/>
          <w:u w:val="none"/>
          <w:lang w:val="en-US" w:eastAsia="zh-CN"/>
        </w:rPr>
      </w:pPr>
    </w:p>
    <w:p>
      <w:pPr>
        <w:pStyle w:val="10"/>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0" w:firstLineChars="0"/>
        <w:jc w:val="center"/>
        <w:rPr>
          <w:rFonts w:hint="eastAsia" w:ascii="方正小标宋简体" w:hAnsi="方正小标宋简体" w:eastAsia="方正小标宋简体" w:cs="方正小标宋简体"/>
          <w:i w:val="0"/>
          <w:iCs w:val="0"/>
          <w:color w:val="000000"/>
          <w:kern w:val="0"/>
          <w:sz w:val="44"/>
          <w:szCs w:val="44"/>
          <w:highlight w:val="none"/>
          <w:u w:val="none"/>
          <w:lang w:val="en-US" w:eastAsia="zh-CN"/>
        </w:rPr>
      </w:pPr>
      <w:r>
        <w:rPr>
          <w:rFonts w:hint="eastAsia" w:ascii="方正小标宋简体" w:hAnsi="方正小标宋简体" w:eastAsia="方正小标宋简体" w:cs="方正小标宋简体"/>
          <w:i w:val="0"/>
          <w:iCs w:val="0"/>
          <w:color w:val="000000"/>
          <w:kern w:val="0"/>
          <w:sz w:val="44"/>
          <w:szCs w:val="44"/>
          <w:highlight w:val="none"/>
          <w:u w:val="none"/>
          <w:lang w:val="en-US" w:eastAsia="zh-CN"/>
        </w:rPr>
        <w:t>2025年中央预算内投资计划申报表</w:t>
      </w:r>
    </w:p>
    <w:p>
      <w:pPr>
        <w:pStyle w:val="10"/>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321" w:firstLineChars="200"/>
        <w:jc w:val="both"/>
        <w:rPr>
          <w:rFonts w:hint="eastAsia" w:ascii="仿宋_GB2312" w:hAnsi="仿宋_GB2312" w:eastAsia="仿宋_GB2312" w:cs="仿宋_GB2312"/>
          <w:b/>
          <w:bCs/>
          <w:i w:val="0"/>
          <w:iCs w:val="0"/>
          <w:color w:val="000000"/>
          <w:kern w:val="0"/>
          <w:sz w:val="16"/>
          <w:szCs w:val="16"/>
          <w:highlight w:val="none"/>
          <w:u w:val="none"/>
          <w:lang w:val="en-US" w:eastAsia="zh-CN"/>
        </w:rPr>
      </w:pPr>
    </w:p>
    <w:p>
      <w:pPr>
        <w:pStyle w:val="10"/>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0" w:firstLineChars="0"/>
        <w:jc w:val="both"/>
        <w:rPr>
          <w:rFonts w:hint="eastAsia" w:ascii="仿宋_GB2312" w:hAnsi="仿宋_GB2312" w:eastAsia="仿宋_GB2312" w:cs="仿宋_GB2312"/>
          <w:b w:val="0"/>
          <w:bCs w:val="0"/>
          <w:i w:val="0"/>
          <w:iCs w:val="0"/>
          <w:color w:val="000000"/>
          <w:kern w:val="0"/>
          <w:sz w:val="20"/>
          <w:szCs w:val="20"/>
          <w:highlight w:val="none"/>
          <w:u w:val="none"/>
          <w:lang w:val="en-US" w:eastAsia="zh-CN"/>
        </w:rPr>
      </w:pPr>
      <w:r>
        <w:rPr>
          <w:rFonts w:hint="eastAsia" w:ascii="仿宋_GB2312" w:hAnsi="仿宋_GB2312" w:eastAsia="仿宋_GB2312" w:cs="仿宋_GB2312"/>
          <w:b w:val="0"/>
          <w:bCs w:val="0"/>
          <w:i w:val="0"/>
          <w:iCs w:val="0"/>
          <w:color w:val="000000"/>
          <w:kern w:val="0"/>
          <w:sz w:val="20"/>
          <w:szCs w:val="20"/>
          <w:highlight w:val="none"/>
          <w:u w:val="none"/>
          <w:lang w:val="en-US" w:eastAsia="zh-CN"/>
        </w:rPr>
        <w:t>申报单位:</w:t>
      </w:r>
      <w:r>
        <w:rPr>
          <w:rFonts w:hint="eastAsia" w:ascii="仿宋_GB2312" w:hAnsi="仿宋_GB2312" w:cs="仿宋_GB2312"/>
          <w:b w:val="0"/>
          <w:bCs w:val="0"/>
          <w:i w:val="0"/>
          <w:iCs w:val="0"/>
          <w:color w:val="000000"/>
          <w:kern w:val="0"/>
          <w:sz w:val="20"/>
          <w:szCs w:val="20"/>
          <w:highlight w:val="none"/>
          <w:u w:val="none"/>
          <w:lang w:val="en-US" w:eastAsia="zh-CN"/>
        </w:rPr>
        <w:t xml:space="preserve">                                              </w:t>
      </w:r>
      <w:r>
        <w:rPr>
          <w:rFonts w:hint="eastAsia" w:ascii="仿宋_GB2312" w:hAnsi="仿宋_GB2312" w:eastAsia="仿宋_GB2312" w:cs="仿宋_GB2312"/>
          <w:b w:val="0"/>
          <w:bCs w:val="0"/>
          <w:i w:val="0"/>
          <w:iCs w:val="0"/>
          <w:color w:val="000000"/>
          <w:kern w:val="0"/>
          <w:sz w:val="20"/>
          <w:szCs w:val="20"/>
          <w:highlight w:val="none"/>
          <w:u w:val="none"/>
          <w:lang w:val="en-US" w:eastAsia="zh-CN"/>
        </w:rPr>
        <w:t>联系人及电话：</w:t>
      </w:r>
      <w:r>
        <w:rPr>
          <w:rFonts w:hint="eastAsia" w:ascii="仿宋_GB2312" w:hAnsi="仿宋_GB2312" w:cs="仿宋_GB2312"/>
          <w:b w:val="0"/>
          <w:bCs w:val="0"/>
          <w:i w:val="0"/>
          <w:iCs w:val="0"/>
          <w:color w:val="000000"/>
          <w:kern w:val="0"/>
          <w:sz w:val="20"/>
          <w:szCs w:val="20"/>
          <w:highlight w:val="none"/>
          <w:u w:val="none"/>
          <w:lang w:val="en-US" w:eastAsia="zh-CN"/>
        </w:rPr>
        <w:t xml:space="preserve">                                                    </w:t>
      </w:r>
      <w:r>
        <w:rPr>
          <w:rFonts w:hint="eastAsia" w:ascii="仿宋_GB2312" w:hAnsi="仿宋_GB2312" w:eastAsia="仿宋_GB2312" w:cs="仿宋_GB2312"/>
          <w:b w:val="0"/>
          <w:bCs w:val="0"/>
          <w:i w:val="0"/>
          <w:iCs w:val="0"/>
          <w:color w:val="000000"/>
          <w:kern w:val="0"/>
          <w:sz w:val="20"/>
          <w:szCs w:val="20"/>
          <w:highlight w:val="none"/>
          <w:u w:val="none"/>
          <w:lang w:val="en-US" w:eastAsia="zh-CN"/>
        </w:rPr>
        <w:t>单位：万元</w:t>
      </w:r>
    </w:p>
    <w:tbl>
      <w:tblPr>
        <w:tblStyle w:val="16"/>
        <w:tblW w:w="1363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77"/>
        <w:gridCol w:w="840"/>
        <w:gridCol w:w="1020"/>
        <w:gridCol w:w="648"/>
        <w:gridCol w:w="680"/>
        <w:gridCol w:w="760"/>
        <w:gridCol w:w="734"/>
        <w:gridCol w:w="1488"/>
        <w:gridCol w:w="511"/>
        <w:gridCol w:w="621"/>
        <w:gridCol w:w="600"/>
        <w:gridCol w:w="575"/>
        <w:gridCol w:w="780"/>
        <w:gridCol w:w="811"/>
        <w:gridCol w:w="912"/>
        <w:gridCol w:w="606"/>
        <w:gridCol w:w="1044"/>
        <w:gridCol w:w="3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tblHeader/>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snapToGrid w:val="0"/>
                <w:color w:val="000000"/>
                <w:spacing w:val="-11"/>
                <w:kern w:val="0"/>
                <w:sz w:val="16"/>
                <w:szCs w:val="16"/>
                <w:highlight w:val="none"/>
                <w:u w:val="none"/>
                <w:lang w:val="en-US" w:eastAsia="zh-CN"/>
              </w:rPr>
            </w:pPr>
            <w:r>
              <w:rPr>
                <w:rFonts w:hint="eastAsia" w:ascii="黑体" w:hAnsi="黑体" w:eastAsia="黑体" w:cs="黑体"/>
                <w:b w:val="0"/>
                <w:bCs w:val="0"/>
                <w:i w:val="0"/>
                <w:iCs w:val="0"/>
                <w:snapToGrid w:val="0"/>
                <w:color w:val="000000"/>
                <w:spacing w:val="-11"/>
                <w:kern w:val="0"/>
                <w:sz w:val="16"/>
                <w:szCs w:val="16"/>
                <w:highlight w:val="none"/>
                <w:u w:val="none"/>
                <w:lang w:val="en-US" w:eastAsia="zh-CN"/>
              </w:rPr>
              <w:t>重要性</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序号</w:t>
            </w: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项目</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名称</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建设性质</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建设规模</w:t>
            </w: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建设内容</w:t>
            </w: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拟开工</w:t>
            </w:r>
            <w:r>
              <w:rPr>
                <w:rFonts w:hint="eastAsia" w:ascii="黑体" w:hAnsi="黑体" w:eastAsia="黑体" w:cs="黑体"/>
                <w:b w:val="0"/>
                <w:bCs w:val="0"/>
                <w:i w:val="0"/>
                <w:iCs w:val="0"/>
                <w:color w:val="000000"/>
                <w:kern w:val="0"/>
                <w:sz w:val="16"/>
                <w:szCs w:val="16"/>
                <w:highlight w:val="none"/>
                <w:u w:val="none"/>
                <w:lang w:val="en-US" w:eastAsia="zh-CN"/>
              </w:rPr>
              <w:br w:type="textWrapping"/>
            </w:r>
            <w:r>
              <w:rPr>
                <w:rFonts w:hint="eastAsia" w:ascii="黑体" w:hAnsi="黑体" w:eastAsia="黑体" w:cs="黑体"/>
                <w:b w:val="0"/>
                <w:bCs w:val="0"/>
                <w:i w:val="0"/>
                <w:iCs w:val="0"/>
                <w:color w:val="000000"/>
                <w:kern w:val="0"/>
                <w:sz w:val="16"/>
                <w:szCs w:val="16"/>
                <w:highlight w:val="none"/>
                <w:u w:val="none"/>
                <w:lang w:val="en-US" w:eastAsia="zh-CN"/>
              </w:rPr>
              <w:t>年份</w:t>
            </w: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拟建成</w:t>
            </w:r>
            <w:r>
              <w:rPr>
                <w:rFonts w:hint="eastAsia" w:ascii="黑体" w:hAnsi="黑体" w:eastAsia="黑体" w:cs="黑体"/>
                <w:b w:val="0"/>
                <w:bCs w:val="0"/>
                <w:i w:val="0"/>
                <w:iCs w:val="0"/>
                <w:color w:val="000000"/>
                <w:kern w:val="0"/>
                <w:sz w:val="16"/>
                <w:szCs w:val="16"/>
                <w:highlight w:val="none"/>
                <w:u w:val="none"/>
                <w:lang w:val="en-US" w:eastAsia="zh-CN"/>
              </w:rPr>
              <w:br w:type="textWrapping"/>
            </w:r>
            <w:r>
              <w:rPr>
                <w:rFonts w:hint="eastAsia" w:ascii="黑体" w:hAnsi="黑体" w:eastAsia="黑体" w:cs="黑体"/>
                <w:b w:val="0"/>
                <w:bCs w:val="0"/>
                <w:i w:val="0"/>
                <w:iCs w:val="0"/>
                <w:color w:val="000000"/>
                <w:kern w:val="0"/>
                <w:sz w:val="16"/>
                <w:szCs w:val="16"/>
                <w:highlight w:val="none"/>
                <w:u w:val="none"/>
                <w:lang w:val="en-US" w:eastAsia="zh-CN"/>
              </w:rPr>
              <w:t>年份</w:t>
            </w:r>
          </w:p>
        </w:tc>
        <w:tc>
          <w:tcPr>
            <w:tcW w:w="148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投资类别</w:t>
            </w:r>
          </w:p>
        </w:tc>
        <w:tc>
          <w:tcPr>
            <w:tcW w:w="5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总投资</w:t>
            </w:r>
          </w:p>
        </w:tc>
        <w:tc>
          <w:tcPr>
            <w:tcW w:w="62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已下达投资</w:t>
            </w:r>
          </w:p>
        </w:tc>
        <w:tc>
          <w:tcPr>
            <w:tcW w:w="60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累计完成投资</w:t>
            </w:r>
          </w:p>
        </w:tc>
        <w:tc>
          <w:tcPr>
            <w:tcW w:w="57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本次申请投资</w:t>
            </w: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部门和地方采取的资金安排方式</w:t>
            </w: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项目</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（法人）</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单位</w:t>
            </w: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snapToGrid w:val="0"/>
                <w:color w:val="000000"/>
                <w:spacing w:val="-11"/>
                <w:kern w:val="0"/>
                <w:sz w:val="16"/>
                <w:szCs w:val="16"/>
                <w:highlight w:val="none"/>
                <w:u w:val="none"/>
                <w:lang w:val="en-US" w:eastAsia="zh-CN"/>
              </w:rPr>
            </w:pPr>
            <w:r>
              <w:rPr>
                <w:rFonts w:hint="eastAsia" w:ascii="黑体" w:hAnsi="黑体" w:eastAsia="黑体" w:cs="黑体"/>
                <w:b w:val="0"/>
                <w:bCs w:val="0"/>
                <w:i w:val="0"/>
                <w:iCs w:val="0"/>
                <w:snapToGrid w:val="0"/>
                <w:color w:val="000000"/>
                <w:spacing w:val="-11"/>
                <w:kern w:val="0"/>
                <w:sz w:val="16"/>
                <w:szCs w:val="16"/>
                <w:highlight w:val="none"/>
                <w:u w:val="none"/>
                <w:lang w:val="en-US" w:eastAsia="zh-CN"/>
              </w:rPr>
              <w:t>项目责任人</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（姓名、</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职务及</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电话）</w:t>
            </w: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日常</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监管</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直接</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责任</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单位</w:t>
            </w: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日常监管直接责任单位监管责任人（姓名、职务及电话）</w:t>
            </w: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snapToGrid w:val="0"/>
                <w:color w:val="000000"/>
                <w:kern w:val="0"/>
                <w:sz w:val="16"/>
                <w:szCs w:val="16"/>
                <w:highlight w:val="none"/>
                <w:u w:val="none"/>
              </w:rPr>
            </w:pPr>
            <w:r>
              <w:rPr>
                <w:rFonts w:hint="eastAsia" w:ascii="黑体" w:hAnsi="黑体" w:eastAsia="黑体" w:cs="黑体"/>
                <w:b w:val="0"/>
                <w:bCs w:val="0"/>
                <w:i w:val="0"/>
                <w:iCs w:val="0"/>
                <w:snapToGrid w:val="0"/>
                <w:color w:val="000000"/>
                <w:kern w:val="0"/>
                <w:sz w:val="16"/>
                <w:szCs w:val="16"/>
                <w:highlight w:val="none"/>
                <w:u w:val="none"/>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8" w:hRule="atLeast"/>
          <w:tblHeader/>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5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2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0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57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土建工程/田间工程/仪器设备购置</w:t>
            </w: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一</w:t>
            </w: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高标准农田建设项目</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新建</w:t>
            </w:r>
            <w:r>
              <w:rPr>
                <w:rStyle w:val="22"/>
                <w:rFonts w:hint="eastAsia" w:ascii="仿宋_GB2312" w:hAnsi="仿宋_GB2312" w:eastAsia="仿宋_GB2312" w:cs="仿宋_GB2312"/>
                <w:color w:val="auto"/>
                <w:kern w:val="0"/>
                <w:sz w:val="16"/>
                <w:szCs w:val="16"/>
                <w:highlight w:val="none"/>
                <w:lang w:val="en-US" w:eastAsia="zh-CN"/>
              </w:rPr>
              <w:t>/</w:t>
            </w:r>
            <w:r>
              <w:rPr>
                <w:rStyle w:val="23"/>
                <w:rFonts w:hint="eastAsia" w:ascii="仿宋_GB2312" w:hAnsi="仿宋_GB2312" w:eastAsia="仿宋_GB2312" w:cs="仿宋_GB2312"/>
                <w:color w:val="auto"/>
                <w:kern w:val="0"/>
                <w:sz w:val="16"/>
                <w:szCs w:val="16"/>
                <w:highlight w:val="none"/>
                <w:lang w:val="en-US" w:eastAsia="zh-CN"/>
              </w:rPr>
              <w:t>续建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（具体项目）</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新建</w:t>
            </w:r>
            <w:r>
              <w:rPr>
                <w:rStyle w:val="24"/>
                <w:rFonts w:hint="eastAsia" w:ascii="仿宋_GB2312" w:hAnsi="仿宋_GB2312" w:eastAsia="仿宋_GB2312" w:cs="仿宋_GB2312"/>
                <w:color w:val="auto"/>
                <w:kern w:val="0"/>
                <w:sz w:val="16"/>
                <w:szCs w:val="16"/>
                <w:highlight w:val="none"/>
                <w:lang w:val="en-US" w:eastAsia="zh-CN"/>
              </w:rPr>
              <w:t>/</w:t>
            </w:r>
            <w:r>
              <w:rPr>
                <w:rStyle w:val="25"/>
                <w:rFonts w:hint="eastAsia" w:ascii="仿宋_GB2312" w:hAnsi="仿宋_GB2312" w:eastAsia="仿宋_GB2312" w:cs="仿宋_GB2312"/>
                <w:color w:val="auto"/>
                <w:kern w:val="0"/>
                <w:sz w:val="16"/>
                <w:szCs w:val="16"/>
                <w:highlight w:val="none"/>
                <w:lang w:val="en-US" w:eastAsia="zh-CN"/>
              </w:rPr>
              <w:t>续建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二</w:t>
            </w: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现代种业提升工程</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续建</w:t>
            </w:r>
            <w:r>
              <w:rPr>
                <w:rStyle w:val="22"/>
                <w:rFonts w:hint="eastAsia" w:ascii="仿宋_GB2312" w:hAnsi="仿宋_GB2312" w:eastAsia="仿宋_GB2312" w:cs="仿宋_GB2312"/>
                <w:color w:val="auto"/>
                <w:kern w:val="0"/>
                <w:sz w:val="16"/>
                <w:szCs w:val="16"/>
                <w:highlight w:val="none"/>
                <w:lang w:val="en-US" w:eastAsia="zh-CN"/>
              </w:rPr>
              <w:t>/</w:t>
            </w:r>
            <w:r>
              <w:rPr>
                <w:rStyle w:val="23"/>
                <w:rFonts w:hint="eastAsia" w:ascii="仿宋_GB2312" w:hAnsi="仿宋_GB2312" w:eastAsia="仿宋_GB2312" w:cs="仿宋_GB2312"/>
                <w:color w:val="auto"/>
                <w:kern w:val="0"/>
                <w:sz w:val="16"/>
                <w:szCs w:val="16"/>
                <w:highlight w:val="none"/>
                <w:lang w:val="en-US" w:eastAsia="zh-CN"/>
              </w:rPr>
              <w:t>新建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（具体项目）</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新建</w:t>
            </w:r>
            <w:r>
              <w:rPr>
                <w:rStyle w:val="24"/>
                <w:rFonts w:hint="eastAsia" w:ascii="仿宋_GB2312" w:hAnsi="仿宋_GB2312" w:eastAsia="仿宋_GB2312" w:cs="仿宋_GB2312"/>
                <w:color w:val="auto"/>
                <w:kern w:val="0"/>
                <w:sz w:val="16"/>
                <w:szCs w:val="16"/>
                <w:highlight w:val="none"/>
                <w:lang w:val="en-US" w:eastAsia="zh-CN"/>
              </w:rPr>
              <w:t>/</w:t>
            </w:r>
            <w:r>
              <w:rPr>
                <w:rStyle w:val="25"/>
                <w:rFonts w:hint="eastAsia" w:ascii="仿宋_GB2312" w:hAnsi="仿宋_GB2312" w:eastAsia="仿宋_GB2312" w:cs="仿宋_GB2312"/>
                <w:color w:val="auto"/>
                <w:kern w:val="0"/>
                <w:sz w:val="16"/>
                <w:szCs w:val="16"/>
                <w:highlight w:val="none"/>
                <w:lang w:val="en-US" w:eastAsia="zh-CN"/>
              </w:rPr>
              <w:t>续建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三</w:t>
            </w: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动植物保护能力提升工程</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续建</w:t>
            </w:r>
            <w:r>
              <w:rPr>
                <w:rStyle w:val="22"/>
                <w:rFonts w:hint="eastAsia" w:ascii="仿宋_GB2312" w:hAnsi="仿宋_GB2312" w:eastAsia="仿宋_GB2312" w:cs="仿宋_GB2312"/>
                <w:color w:val="auto"/>
                <w:kern w:val="0"/>
                <w:sz w:val="16"/>
                <w:szCs w:val="16"/>
                <w:highlight w:val="none"/>
                <w:lang w:val="en-US" w:eastAsia="zh-CN"/>
              </w:rPr>
              <w:t>/</w:t>
            </w:r>
            <w:r>
              <w:rPr>
                <w:rStyle w:val="23"/>
                <w:rFonts w:hint="eastAsia" w:ascii="仿宋_GB2312" w:hAnsi="仿宋_GB2312" w:eastAsia="仿宋_GB2312" w:cs="仿宋_GB2312"/>
                <w:color w:val="auto"/>
                <w:kern w:val="0"/>
                <w:sz w:val="16"/>
                <w:szCs w:val="16"/>
                <w:highlight w:val="none"/>
                <w:lang w:val="en-US" w:eastAsia="zh-CN"/>
              </w:rPr>
              <w:t>新建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（具体项目）</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新建</w:t>
            </w:r>
            <w:r>
              <w:rPr>
                <w:rStyle w:val="24"/>
                <w:rFonts w:hint="eastAsia" w:ascii="仿宋_GB2312" w:hAnsi="仿宋_GB2312" w:eastAsia="仿宋_GB2312" w:cs="仿宋_GB2312"/>
                <w:color w:val="auto"/>
                <w:kern w:val="0"/>
                <w:sz w:val="16"/>
                <w:szCs w:val="16"/>
                <w:highlight w:val="none"/>
                <w:lang w:val="en-US" w:eastAsia="zh-CN"/>
              </w:rPr>
              <w:t>/</w:t>
            </w:r>
            <w:r>
              <w:rPr>
                <w:rStyle w:val="25"/>
                <w:rFonts w:hint="eastAsia" w:ascii="仿宋_GB2312" w:hAnsi="仿宋_GB2312" w:eastAsia="仿宋_GB2312" w:cs="仿宋_GB2312"/>
                <w:color w:val="auto"/>
                <w:kern w:val="0"/>
                <w:sz w:val="16"/>
                <w:szCs w:val="16"/>
                <w:highlight w:val="none"/>
                <w:lang w:val="en-US" w:eastAsia="zh-CN"/>
              </w:rPr>
              <w:t>续建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四</w:t>
            </w: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农业科技创新能力条件建设</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续建</w:t>
            </w:r>
            <w:r>
              <w:rPr>
                <w:rStyle w:val="22"/>
                <w:rFonts w:hint="eastAsia" w:ascii="仿宋_GB2312" w:hAnsi="仿宋_GB2312" w:eastAsia="仿宋_GB2312" w:cs="仿宋_GB2312"/>
                <w:color w:val="auto"/>
                <w:kern w:val="0"/>
                <w:sz w:val="16"/>
                <w:szCs w:val="16"/>
                <w:highlight w:val="none"/>
                <w:lang w:val="en-US" w:eastAsia="zh-CN"/>
              </w:rPr>
              <w:t>/</w:t>
            </w:r>
            <w:r>
              <w:rPr>
                <w:rStyle w:val="23"/>
                <w:rFonts w:hint="eastAsia" w:ascii="仿宋_GB2312" w:hAnsi="仿宋_GB2312" w:eastAsia="仿宋_GB2312" w:cs="仿宋_GB2312"/>
                <w:color w:val="auto"/>
                <w:kern w:val="0"/>
                <w:sz w:val="16"/>
                <w:szCs w:val="16"/>
                <w:highlight w:val="none"/>
                <w:lang w:val="en-US" w:eastAsia="zh-CN"/>
              </w:rPr>
              <w:t>新建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（具体项目）</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新建</w:t>
            </w:r>
            <w:r>
              <w:rPr>
                <w:rStyle w:val="24"/>
                <w:rFonts w:hint="eastAsia" w:ascii="仿宋_GB2312" w:hAnsi="仿宋_GB2312" w:eastAsia="仿宋_GB2312" w:cs="仿宋_GB2312"/>
                <w:color w:val="auto"/>
                <w:kern w:val="0"/>
                <w:sz w:val="16"/>
                <w:szCs w:val="16"/>
                <w:highlight w:val="none"/>
                <w:lang w:val="en-US" w:eastAsia="zh-CN"/>
              </w:rPr>
              <w:t>/</w:t>
            </w:r>
            <w:r>
              <w:rPr>
                <w:rStyle w:val="25"/>
                <w:rFonts w:hint="eastAsia" w:ascii="仿宋_GB2312" w:hAnsi="仿宋_GB2312" w:eastAsia="仿宋_GB2312" w:cs="仿宋_GB2312"/>
                <w:color w:val="auto"/>
                <w:kern w:val="0"/>
                <w:sz w:val="16"/>
                <w:szCs w:val="16"/>
                <w:highlight w:val="none"/>
                <w:lang w:val="en-US" w:eastAsia="zh-CN"/>
              </w:rPr>
              <w:t>续建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五</w:t>
            </w: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数字农业农村建设</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续建</w:t>
            </w:r>
            <w:r>
              <w:rPr>
                <w:rStyle w:val="22"/>
                <w:rFonts w:hint="eastAsia" w:ascii="仿宋_GB2312" w:hAnsi="仿宋_GB2312" w:eastAsia="仿宋_GB2312" w:cs="仿宋_GB2312"/>
                <w:color w:val="auto"/>
                <w:kern w:val="0"/>
                <w:sz w:val="16"/>
                <w:szCs w:val="16"/>
                <w:highlight w:val="none"/>
                <w:lang w:val="en-US" w:eastAsia="zh-CN"/>
              </w:rPr>
              <w:t>/</w:t>
            </w:r>
            <w:r>
              <w:rPr>
                <w:rStyle w:val="23"/>
                <w:rFonts w:hint="eastAsia" w:ascii="仿宋_GB2312" w:hAnsi="仿宋_GB2312" w:eastAsia="仿宋_GB2312" w:cs="仿宋_GB2312"/>
                <w:color w:val="auto"/>
                <w:kern w:val="0"/>
                <w:sz w:val="16"/>
                <w:szCs w:val="16"/>
                <w:highlight w:val="none"/>
                <w:lang w:val="en-US" w:eastAsia="zh-CN"/>
              </w:rPr>
              <w:t>新建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（具体项目）</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新建</w:t>
            </w:r>
            <w:r>
              <w:rPr>
                <w:rStyle w:val="24"/>
                <w:rFonts w:hint="eastAsia" w:ascii="仿宋_GB2312" w:hAnsi="仿宋_GB2312" w:eastAsia="仿宋_GB2312" w:cs="仿宋_GB2312"/>
                <w:color w:val="auto"/>
                <w:kern w:val="0"/>
                <w:sz w:val="16"/>
                <w:szCs w:val="16"/>
                <w:highlight w:val="none"/>
                <w:lang w:val="en-US" w:eastAsia="zh-CN"/>
              </w:rPr>
              <w:t>/</w:t>
            </w:r>
            <w:r>
              <w:rPr>
                <w:rStyle w:val="25"/>
                <w:rFonts w:hint="eastAsia" w:ascii="仿宋_GB2312" w:hAnsi="仿宋_GB2312" w:eastAsia="仿宋_GB2312" w:cs="仿宋_GB2312"/>
                <w:color w:val="auto"/>
                <w:kern w:val="0"/>
                <w:sz w:val="16"/>
                <w:szCs w:val="16"/>
                <w:highlight w:val="none"/>
                <w:lang w:val="en-US" w:eastAsia="zh-CN"/>
              </w:rPr>
              <w:t>续建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六</w:t>
            </w: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畜禽粪污资源化利用整县推进</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新建</w:t>
            </w:r>
            <w:r>
              <w:rPr>
                <w:rStyle w:val="22"/>
                <w:rFonts w:hint="eastAsia" w:ascii="仿宋_GB2312" w:hAnsi="仿宋_GB2312" w:eastAsia="仿宋_GB2312" w:cs="仿宋_GB2312"/>
                <w:color w:val="auto"/>
                <w:kern w:val="0"/>
                <w:sz w:val="16"/>
                <w:szCs w:val="16"/>
                <w:highlight w:val="none"/>
                <w:lang w:val="en-US" w:eastAsia="zh-CN"/>
              </w:rPr>
              <w:t>/</w:t>
            </w:r>
            <w:r>
              <w:rPr>
                <w:rStyle w:val="23"/>
                <w:rFonts w:hint="eastAsia" w:ascii="仿宋_GB2312" w:hAnsi="仿宋_GB2312" w:eastAsia="仿宋_GB2312" w:cs="仿宋_GB2312"/>
                <w:color w:val="auto"/>
                <w:kern w:val="0"/>
                <w:sz w:val="16"/>
                <w:szCs w:val="16"/>
                <w:highlight w:val="none"/>
                <w:lang w:val="en-US" w:eastAsia="zh-CN"/>
              </w:rPr>
              <w:t>续建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（具体项目）</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新建</w:t>
            </w:r>
            <w:r>
              <w:rPr>
                <w:rStyle w:val="24"/>
                <w:rFonts w:hint="eastAsia" w:ascii="仿宋_GB2312" w:hAnsi="仿宋_GB2312" w:eastAsia="仿宋_GB2312" w:cs="仿宋_GB2312"/>
                <w:color w:val="auto"/>
                <w:kern w:val="0"/>
                <w:sz w:val="16"/>
                <w:szCs w:val="16"/>
                <w:highlight w:val="none"/>
                <w:lang w:val="en-US" w:eastAsia="zh-CN"/>
              </w:rPr>
              <w:t>/</w:t>
            </w:r>
            <w:r>
              <w:rPr>
                <w:rStyle w:val="25"/>
                <w:rFonts w:hint="eastAsia" w:ascii="仿宋_GB2312" w:hAnsi="仿宋_GB2312" w:eastAsia="仿宋_GB2312" w:cs="仿宋_GB2312"/>
                <w:color w:val="auto"/>
                <w:kern w:val="0"/>
                <w:sz w:val="16"/>
                <w:szCs w:val="16"/>
                <w:highlight w:val="none"/>
                <w:lang w:val="en-US" w:eastAsia="zh-CN"/>
              </w:rPr>
              <w:t>续建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bl>
    <w:p>
      <w:pPr>
        <w:pStyle w:val="10"/>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0" w:firstLineChars="0"/>
        <w:jc w:val="left"/>
        <w:textAlignment w:val="auto"/>
        <w:rPr>
          <w:rFonts w:hint="eastAsia" w:ascii="仿宋_GB2312" w:hAnsi="仿宋_GB2312" w:eastAsia="仿宋_GB2312" w:cs="仿宋_GB2312"/>
          <w:color w:val="auto"/>
          <w:kern w:val="0"/>
          <w:sz w:val="20"/>
          <w:szCs w:val="20"/>
          <w:highlight w:val="none"/>
          <w:lang w:val="en-US" w:eastAsia="zh-CN"/>
        </w:rPr>
      </w:pPr>
      <w:r>
        <w:rPr>
          <w:rFonts w:hint="eastAsia" w:ascii="仿宋_GB2312" w:hAnsi="仿宋_GB2312" w:eastAsia="仿宋_GB2312" w:cs="仿宋_GB2312"/>
          <w:i w:val="0"/>
          <w:iCs w:val="0"/>
          <w:color w:val="000000"/>
          <w:kern w:val="0"/>
          <w:sz w:val="20"/>
          <w:szCs w:val="20"/>
          <w:highlight w:val="none"/>
          <w:u w:val="none"/>
          <w:lang w:val="en-US" w:eastAsia="zh-CN"/>
        </w:rPr>
        <w:t>备注：上年已下达部分投资的续建项目应全部纳入本年度投资需求申请表</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textAlignment w:val="auto"/>
        <w:outlineLvl w:val="9"/>
        <w:rPr>
          <w:rFonts w:hint="eastAsia" w:ascii="仿宋_GB2312" w:hAnsi="仿宋_GB2312" w:eastAsia="仿宋_GB2312" w:cs="仿宋_GB2312"/>
          <w:color w:val="auto"/>
          <w:kern w:val="0"/>
          <w:highlight w:val="none"/>
          <w:lang w:val="en-US" w:eastAsia="zh-CN"/>
        </w:rPr>
        <w:sectPr>
          <w:pgSz w:w="16838" w:h="11906" w:orient="landscape"/>
          <w:pgMar w:top="1531" w:right="1871" w:bottom="1531" w:left="1871" w:header="851"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pStyle w:val="2"/>
        <w:keepNext w:val="0"/>
        <w:keepLines w:val="0"/>
        <w:pageBreakBefore w:val="0"/>
        <w:widowControl w:val="0"/>
        <w:kinsoku/>
        <w:wordWrap/>
        <w:overflowPunct/>
        <w:topLinePunct w:val="0"/>
        <w:autoSpaceDE/>
        <w:autoSpaceDN/>
        <w:bidi w:val="0"/>
        <w:adjustRightInd w:val="0"/>
        <w:snapToGrid w:val="0"/>
        <w:spacing w:line="590" w:lineRule="exact"/>
        <w:textAlignment w:val="auto"/>
        <w:rPr>
          <w:rFonts w:hint="eastAsia"/>
          <w:color w:val="auto"/>
          <w:highlight w:val="none"/>
          <w:lang w:val="en-US" w:eastAsia="zh-CN"/>
        </w:rPr>
      </w:pPr>
      <w:r>
        <w:rPr>
          <w:rFonts w:hint="eastAsia" w:ascii="黑体" w:hAnsi="宋体" w:eastAsia="黑体" w:cs="黑体"/>
          <w:i w:val="0"/>
          <w:iCs w:val="0"/>
          <w:color w:val="000000"/>
          <w:kern w:val="0"/>
          <w:sz w:val="32"/>
          <w:szCs w:val="32"/>
          <w:highlight w:val="none"/>
          <w:u w:val="none"/>
          <w:lang w:val="en-US" w:eastAsia="zh-CN"/>
        </w:rPr>
        <w:t>附件3</w:t>
      </w:r>
    </w:p>
    <w:p>
      <w:pPr>
        <w:keepNext w:val="0"/>
        <w:keepLines w:val="0"/>
        <w:pageBreakBefore w:val="0"/>
        <w:widowControl w:val="0"/>
        <w:kinsoku/>
        <w:wordWrap/>
        <w:overflowPunct/>
        <w:topLinePunct w:val="0"/>
        <w:autoSpaceDE/>
        <w:autoSpaceDN/>
        <w:bidi w:val="0"/>
        <w:adjustRightInd w:val="0"/>
        <w:snapToGrid w:val="0"/>
        <w:spacing w:line="590" w:lineRule="exact"/>
        <w:textAlignment w:val="auto"/>
        <w:rPr>
          <w:rFonts w:hint="eastAsia"/>
          <w:color w:val="auto"/>
          <w:highlight w:val="none"/>
          <w:lang w:val="en-US" w:eastAsia="zh-CN"/>
        </w:rPr>
      </w:pPr>
    </w:p>
    <w:p>
      <w:pPr>
        <w:pStyle w:val="2"/>
        <w:keepNext w:val="0"/>
        <w:keepLines w:val="0"/>
        <w:pageBreakBefore w:val="0"/>
        <w:widowControl w:val="0"/>
        <w:kinsoku/>
        <w:wordWrap/>
        <w:overflowPunct/>
        <w:topLinePunct w:val="0"/>
        <w:autoSpaceDE/>
        <w:autoSpaceDN/>
        <w:bidi w:val="0"/>
        <w:adjustRightInd w:val="0"/>
        <w:snapToGrid w:val="0"/>
        <w:spacing w:line="590" w:lineRule="exact"/>
        <w:jc w:val="center"/>
        <w:textAlignment w:val="auto"/>
        <w:rPr>
          <w:rFonts w:hint="eastAsia" w:ascii="方正小标宋简体" w:hAnsi="方正小标宋简体" w:eastAsia="方正小标宋简体" w:cs="方正小标宋简体"/>
          <w:i w:val="0"/>
          <w:iCs w:val="0"/>
          <w:color w:val="000000"/>
          <w:kern w:val="0"/>
          <w:sz w:val="44"/>
          <w:szCs w:val="44"/>
          <w:highlight w:val="none"/>
          <w:u w:val="none"/>
          <w:lang w:val="en-US" w:eastAsia="zh-CN"/>
        </w:rPr>
      </w:pPr>
      <w:r>
        <w:rPr>
          <w:rFonts w:hint="eastAsia" w:ascii="方正小标宋简体" w:hAnsi="方正小标宋简体" w:eastAsia="方正小标宋简体" w:cs="方正小标宋简体"/>
          <w:i w:val="0"/>
          <w:iCs w:val="0"/>
          <w:color w:val="000000"/>
          <w:kern w:val="0"/>
          <w:sz w:val="44"/>
          <w:szCs w:val="44"/>
          <w:highlight w:val="none"/>
          <w:u w:val="none"/>
          <w:lang w:val="en-US" w:eastAsia="zh-CN"/>
        </w:rPr>
        <w:t>专项中央预算内投资计划绩效目标表</w:t>
      </w:r>
    </w:p>
    <w:p>
      <w:pPr>
        <w:pStyle w:val="2"/>
        <w:keepNext w:val="0"/>
        <w:keepLines w:val="0"/>
        <w:pageBreakBefore w:val="0"/>
        <w:widowControl w:val="0"/>
        <w:kinsoku/>
        <w:wordWrap/>
        <w:overflowPunct/>
        <w:topLinePunct w:val="0"/>
        <w:autoSpaceDE/>
        <w:autoSpaceDN/>
        <w:bidi w:val="0"/>
        <w:adjustRightInd w:val="0"/>
        <w:snapToGrid w:val="0"/>
        <w:spacing w:line="590" w:lineRule="exact"/>
        <w:jc w:val="center"/>
        <w:textAlignment w:val="auto"/>
        <w:rPr>
          <w:rFonts w:hint="eastAsia"/>
          <w:color w:val="auto"/>
          <w:sz w:val="32"/>
          <w:szCs w:val="32"/>
          <w:highlight w:val="none"/>
          <w:lang w:val="en-US" w:eastAsia="zh-CN"/>
        </w:rPr>
      </w:pPr>
      <w:r>
        <w:rPr>
          <w:rFonts w:ascii="仿宋_GB2312" w:hAnsi="方正小标宋简体" w:eastAsia="仿宋_GB2312" w:cs="仿宋_GB2312"/>
          <w:i w:val="0"/>
          <w:iCs w:val="0"/>
          <w:color w:val="000000"/>
          <w:kern w:val="0"/>
          <w:sz w:val="32"/>
          <w:szCs w:val="32"/>
          <w:highlight w:val="none"/>
          <w:u w:val="none"/>
          <w:lang w:val="en-US" w:eastAsia="zh-CN"/>
        </w:rPr>
        <w:t>（202</w:t>
      </w:r>
      <w:r>
        <w:rPr>
          <w:rFonts w:hint="eastAsia" w:ascii="仿宋_GB2312" w:hAnsi="方正小标宋简体" w:eastAsia="仿宋_GB2312" w:cs="仿宋_GB2312"/>
          <w:i w:val="0"/>
          <w:iCs w:val="0"/>
          <w:color w:val="000000"/>
          <w:kern w:val="0"/>
          <w:sz w:val="32"/>
          <w:szCs w:val="32"/>
          <w:highlight w:val="none"/>
          <w:u w:val="none"/>
          <w:lang w:val="en-US" w:eastAsia="zh-CN"/>
        </w:rPr>
        <w:t>5</w:t>
      </w:r>
      <w:r>
        <w:rPr>
          <w:rFonts w:ascii="仿宋_GB2312" w:hAnsi="方正小标宋简体" w:eastAsia="仿宋_GB2312" w:cs="仿宋_GB2312"/>
          <w:i w:val="0"/>
          <w:iCs w:val="0"/>
          <w:color w:val="000000"/>
          <w:kern w:val="0"/>
          <w:sz w:val="32"/>
          <w:szCs w:val="32"/>
          <w:highlight w:val="none"/>
          <w:u w:val="none"/>
          <w:lang w:val="en-US" w:eastAsia="zh-CN"/>
        </w:rPr>
        <w:t>年度）</w:t>
      </w:r>
    </w:p>
    <w:p>
      <w:pPr>
        <w:keepNext w:val="0"/>
        <w:keepLines w:val="0"/>
        <w:pageBreakBefore w:val="0"/>
        <w:widowControl w:val="0"/>
        <w:kinsoku/>
        <w:wordWrap/>
        <w:overflowPunct/>
        <w:topLinePunct w:val="0"/>
        <w:autoSpaceDE/>
        <w:autoSpaceDN/>
        <w:bidi w:val="0"/>
        <w:adjustRightInd w:val="0"/>
        <w:snapToGrid w:val="0"/>
        <w:spacing w:line="590" w:lineRule="exact"/>
        <w:textAlignment w:val="auto"/>
        <w:rPr>
          <w:rFonts w:hint="eastAsia"/>
          <w:color w:val="auto"/>
          <w:highlight w:val="none"/>
          <w:lang w:val="en-US" w:eastAsia="zh-CN"/>
        </w:rPr>
      </w:pPr>
    </w:p>
    <w:tbl>
      <w:tblPr>
        <w:tblStyle w:val="16"/>
        <w:tblW w:w="905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947"/>
        <w:gridCol w:w="1353"/>
        <w:gridCol w:w="1152"/>
        <w:gridCol w:w="2455"/>
        <w:gridCol w:w="18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778" w:type="dxa"/>
            <w:gridSpan w:val="4"/>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专项名称</w:t>
            </w:r>
          </w:p>
        </w:tc>
        <w:tc>
          <w:tcPr>
            <w:tcW w:w="4280" w:type="dxa"/>
            <w:gridSpan w:val="2"/>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778" w:type="dxa"/>
            <w:gridSpan w:val="4"/>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申报地方或单位</w:t>
            </w:r>
          </w:p>
        </w:tc>
        <w:tc>
          <w:tcPr>
            <w:tcW w:w="4280" w:type="dxa"/>
            <w:gridSpan w:val="2"/>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778" w:type="dxa"/>
            <w:gridSpan w:val="4"/>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申请中央预算内投资（万元）</w:t>
            </w:r>
          </w:p>
        </w:tc>
        <w:tc>
          <w:tcPr>
            <w:tcW w:w="4280" w:type="dxa"/>
            <w:gridSpan w:val="2"/>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总体目标</w:t>
            </w:r>
          </w:p>
        </w:tc>
        <w:tc>
          <w:tcPr>
            <w:tcW w:w="7732" w:type="dxa"/>
            <w:gridSpan w:val="5"/>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（总体目标描述专项在本年度预期达到的整体产出和效果。）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绩效指标</w:t>
            </w:r>
          </w:p>
        </w:tc>
        <w:tc>
          <w:tcPr>
            <w:tcW w:w="947"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一级指标</w:t>
            </w:r>
          </w:p>
        </w:tc>
        <w:tc>
          <w:tcPr>
            <w:tcW w:w="1353"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二级指标</w:t>
            </w:r>
          </w:p>
        </w:tc>
        <w:tc>
          <w:tcPr>
            <w:tcW w:w="3607" w:type="dxa"/>
            <w:gridSpan w:val="2"/>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三级指标</w:t>
            </w:r>
          </w:p>
        </w:tc>
        <w:tc>
          <w:tcPr>
            <w:tcW w:w="182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绩效指标</w:t>
            </w:r>
          </w:p>
        </w:tc>
        <w:tc>
          <w:tcPr>
            <w:tcW w:w="947"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实施效果指标</w:t>
            </w:r>
          </w:p>
        </w:tc>
        <w:tc>
          <w:tcPr>
            <w:tcW w:w="1353"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产出指标</w:t>
            </w:r>
          </w:p>
        </w:tc>
        <w:tc>
          <w:tcPr>
            <w:tcW w:w="1152"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数量指标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开工项目个数</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152"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完工项目个数</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1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质量指标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工程竣工验收合格率</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1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时效指标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按进度计划实施情况</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1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成本指标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支出投资/批复投资</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效益指标</w:t>
            </w:r>
          </w:p>
        </w:tc>
        <w:tc>
          <w:tcPr>
            <w:tcW w:w="11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经济效益</w:t>
            </w:r>
            <w:r>
              <w:rPr>
                <w:rFonts w:hint="eastAsia" w:ascii="仿宋_GB2312" w:hAnsi="仿宋_GB2312" w:eastAsia="仿宋_GB2312" w:cs="仿宋_GB2312"/>
                <w:i w:val="0"/>
                <w:iCs w:val="0"/>
                <w:color w:val="auto"/>
                <w:kern w:val="0"/>
                <w:sz w:val="18"/>
                <w:szCs w:val="18"/>
                <w:highlight w:val="none"/>
                <w:u w:val="none"/>
                <w:lang w:val="en-US" w:eastAsia="zh-CN"/>
              </w:rPr>
              <w:br w:type="textWrapping"/>
            </w:r>
            <w:r>
              <w:rPr>
                <w:rFonts w:hint="eastAsia" w:ascii="仿宋_GB2312" w:hAnsi="仿宋_GB2312" w:eastAsia="仿宋_GB2312" w:cs="仿宋_GB2312"/>
                <w:i w:val="0"/>
                <w:iCs w:val="0"/>
                <w:color w:val="auto"/>
                <w:kern w:val="0"/>
                <w:sz w:val="18"/>
                <w:szCs w:val="18"/>
                <w:highlight w:val="none"/>
                <w:u w:val="none"/>
                <w:lang w:val="en-US" w:eastAsia="zh-CN"/>
              </w:rPr>
              <w:t>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kern w:val="0"/>
                <w:sz w:val="18"/>
                <w:szCs w:val="18"/>
                <w:highlight w:val="none"/>
                <w:u w:val="none"/>
                <w:lang w:val="en-US" w:eastAsia="zh-CN"/>
              </w:rPr>
            </w:pPr>
            <w:r>
              <w:rPr>
                <w:rFonts w:hint="eastAsia" w:ascii="仿宋_GB2312" w:hAnsi="仿宋_GB2312" w:eastAsia="仿宋_GB2312" w:cs="仿宋_GB2312"/>
                <w:i w:val="0"/>
                <w:iCs w:val="0"/>
                <w:color w:val="auto"/>
                <w:kern w:val="0"/>
                <w:sz w:val="18"/>
                <w:szCs w:val="18"/>
                <w:highlight w:val="none"/>
                <w:u w:val="none"/>
                <w:lang w:val="en-US" w:eastAsia="zh-CN"/>
              </w:rPr>
              <w:t>根据项目实际据实填写</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（可定性表述）</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1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社会效益      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kern w:val="0"/>
                <w:sz w:val="18"/>
                <w:szCs w:val="18"/>
                <w:highlight w:val="none"/>
                <w:u w:val="none"/>
                <w:lang w:val="en-US" w:eastAsia="zh-CN"/>
              </w:rPr>
            </w:pPr>
            <w:r>
              <w:rPr>
                <w:rFonts w:hint="eastAsia" w:ascii="仿宋_GB2312" w:hAnsi="仿宋_GB2312" w:eastAsia="仿宋_GB2312" w:cs="仿宋_GB2312"/>
                <w:i w:val="0"/>
                <w:iCs w:val="0"/>
                <w:color w:val="auto"/>
                <w:kern w:val="0"/>
                <w:sz w:val="18"/>
                <w:szCs w:val="18"/>
                <w:highlight w:val="none"/>
                <w:u w:val="none"/>
                <w:lang w:val="en-US" w:eastAsia="zh-CN"/>
              </w:rPr>
              <w:t>根据项目实际据实填写</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（可定性表述）</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1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生态效益    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kern w:val="0"/>
                <w:sz w:val="18"/>
                <w:szCs w:val="18"/>
                <w:highlight w:val="none"/>
                <w:u w:val="none"/>
                <w:lang w:val="en-US" w:eastAsia="zh-CN"/>
              </w:rPr>
            </w:pPr>
            <w:r>
              <w:rPr>
                <w:rFonts w:hint="eastAsia" w:ascii="仿宋_GB2312" w:hAnsi="仿宋_GB2312" w:eastAsia="仿宋_GB2312" w:cs="仿宋_GB2312"/>
                <w:i w:val="0"/>
                <w:iCs w:val="0"/>
                <w:color w:val="auto"/>
                <w:kern w:val="0"/>
                <w:sz w:val="18"/>
                <w:szCs w:val="18"/>
                <w:highlight w:val="none"/>
                <w:u w:val="none"/>
                <w:lang w:val="en-US" w:eastAsia="zh-CN"/>
              </w:rPr>
              <w:t>根据项目实际据实填写</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（可定性表述）</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1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可持续影响   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kern w:val="0"/>
                <w:sz w:val="18"/>
                <w:szCs w:val="18"/>
                <w:highlight w:val="none"/>
                <w:u w:val="none"/>
                <w:lang w:val="en-US" w:eastAsia="zh-CN"/>
              </w:rPr>
            </w:pPr>
            <w:r>
              <w:rPr>
                <w:rFonts w:hint="eastAsia" w:ascii="仿宋_GB2312" w:hAnsi="仿宋_GB2312" w:eastAsia="仿宋_GB2312" w:cs="仿宋_GB2312"/>
                <w:i w:val="0"/>
                <w:iCs w:val="0"/>
                <w:color w:val="auto"/>
                <w:kern w:val="0"/>
                <w:sz w:val="18"/>
                <w:szCs w:val="18"/>
                <w:highlight w:val="none"/>
                <w:u w:val="none"/>
                <w:lang w:val="en-US" w:eastAsia="zh-CN"/>
              </w:rPr>
              <w:t>根据项目实际据实填写</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（可定性表述）</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满意度指标</w:t>
            </w:r>
          </w:p>
        </w:tc>
        <w:tc>
          <w:tcPr>
            <w:tcW w:w="11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服务对象满意度指标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每个项目投诉次数</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过程管理指标</w:t>
            </w:r>
          </w:p>
        </w:tc>
        <w:tc>
          <w:tcPr>
            <w:tcW w:w="1353"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计划管理指标</w:t>
            </w:r>
          </w:p>
        </w:tc>
        <w:tc>
          <w:tcPr>
            <w:tcW w:w="3607" w:type="dxa"/>
            <w:gridSpan w:val="2"/>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投资计划分解（转发）用时</w:t>
            </w:r>
          </w:p>
        </w:tc>
        <w:tc>
          <w:tcPr>
            <w:tcW w:w="182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w:t>
            </w:r>
            <w:r>
              <w:rPr>
                <w:rStyle w:val="26"/>
                <w:rFonts w:hint="eastAsia" w:ascii="仿宋_GB2312" w:hAnsi="仿宋_GB2312" w:eastAsia="仿宋_GB2312" w:cs="仿宋_GB2312"/>
                <w:color w:val="auto"/>
                <w:sz w:val="18"/>
                <w:szCs w:val="18"/>
                <w:highlight w:val="none"/>
                <w:lang w:val="en-US" w:eastAsia="zh-CN"/>
              </w:rPr>
              <w:t xml:space="preserve"> 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3607" w:type="dxa"/>
            <w:gridSpan w:val="2"/>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“两个责任”按项目落实到位率</w:t>
            </w:r>
          </w:p>
        </w:tc>
        <w:tc>
          <w:tcPr>
            <w:tcW w:w="182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≥95</w:t>
            </w:r>
            <w:r>
              <w:rPr>
                <w:rStyle w:val="26"/>
                <w:rFonts w:hint="eastAsia" w:ascii="仿宋_GB2312" w:hAnsi="仿宋_GB2312" w:eastAsia="仿宋_GB2312" w:cs="仿宋_GB2312"/>
                <w:color w:val="auto"/>
                <w:sz w:val="18"/>
                <w:szCs w:val="18"/>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资金管理指标</w:t>
            </w:r>
          </w:p>
        </w:tc>
        <w:tc>
          <w:tcPr>
            <w:tcW w:w="3607" w:type="dxa"/>
            <w:gridSpan w:val="2"/>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中央预算内投资支付率</w:t>
            </w:r>
          </w:p>
        </w:tc>
        <w:tc>
          <w:tcPr>
            <w:tcW w:w="182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≥65</w:t>
            </w:r>
            <w:r>
              <w:rPr>
                <w:rStyle w:val="26"/>
                <w:rFonts w:hint="eastAsia" w:ascii="仿宋_GB2312" w:hAnsi="仿宋_GB2312" w:eastAsia="仿宋_GB2312" w:cs="仿宋_GB2312"/>
                <w:color w:val="auto"/>
                <w:sz w:val="18"/>
                <w:szCs w:val="18"/>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3607" w:type="dxa"/>
            <w:gridSpan w:val="2"/>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年度计划投资完成率</w:t>
            </w:r>
          </w:p>
        </w:tc>
        <w:tc>
          <w:tcPr>
            <w:tcW w:w="182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≥80</w:t>
            </w:r>
            <w:r>
              <w:rPr>
                <w:rStyle w:val="26"/>
                <w:rFonts w:hint="eastAsia" w:ascii="仿宋_GB2312" w:hAnsi="仿宋_GB2312" w:eastAsia="仿宋_GB2312" w:cs="仿宋_GB2312"/>
                <w:color w:val="auto"/>
                <w:sz w:val="18"/>
                <w:szCs w:val="18"/>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项目管理指标</w:t>
            </w:r>
          </w:p>
        </w:tc>
        <w:tc>
          <w:tcPr>
            <w:tcW w:w="3607" w:type="dxa"/>
            <w:gridSpan w:val="2"/>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项目开工率</w:t>
            </w:r>
          </w:p>
        </w:tc>
        <w:tc>
          <w:tcPr>
            <w:tcW w:w="182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≥90</w:t>
            </w:r>
            <w:r>
              <w:rPr>
                <w:rStyle w:val="26"/>
                <w:rFonts w:hint="eastAsia" w:ascii="仿宋_GB2312" w:hAnsi="仿宋_GB2312" w:eastAsia="仿宋_GB2312" w:cs="仿宋_GB2312"/>
                <w:color w:val="auto"/>
                <w:sz w:val="18"/>
                <w:szCs w:val="18"/>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3607" w:type="dxa"/>
            <w:gridSpan w:val="2"/>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超规模、超标准、超概算项目比例</w:t>
            </w:r>
          </w:p>
        </w:tc>
        <w:tc>
          <w:tcPr>
            <w:tcW w:w="182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监督检查指标</w:t>
            </w:r>
          </w:p>
        </w:tc>
        <w:tc>
          <w:tcPr>
            <w:tcW w:w="3607" w:type="dxa"/>
            <w:gridSpan w:val="2"/>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审计、督察、巡视等指出问题项目比例</w:t>
            </w:r>
          </w:p>
        </w:tc>
        <w:tc>
          <w:tcPr>
            <w:tcW w:w="182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9058" w:type="dxa"/>
            <w:gridSpan w:val="6"/>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备注：1.年度投资完成率指根据项目建设进度，本年度实际完成投资与年度计划完成投资的比值。</w:t>
            </w:r>
            <w:r>
              <w:rPr>
                <w:rFonts w:hint="eastAsia" w:ascii="仿宋_GB2312" w:hAnsi="仿宋_GB2312" w:eastAsia="仿宋_GB2312" w:cs="仿宋_GB2312"/>
                <w:i w:val="0"/>
                <w:iCs w:val="0"/>
                <w:color w:val="auto"/>
                <w:kern w:val="0"/>
                <w:sz w:val="18"/>
                <w:szCs w:val="18"/>
                <w:highlight w:val="none"/>
                <w:u w:val="none"/>
                <w:lang w:val="en-US" w:eastAsia="zh-CN"/>
              </w:rPr>
              <w:br w:type="textWrapping"/>
            </w:r>
            <w:r>
              <w:rPr>
                <w:rFonts w:hint="eastAsia" w:ascii="仿宋_GB2312" w:hAnsi="仿宋_GB2312" w:eastAsia="仿宋_GB2312" w:cs="仿宋_GB2312"/>
                <w:i w:val="0"/>
                <w:iCs w:val="0"/>
                <w:color w:val="auto"/>
                <w:kern w:val="0"/>
                <w:sz w:val="18"/>
                <w:szCs w:val="18"/>
                <w:highlight w:val="none"/>
                <w:u w:val="none"/>
                <w:lang w:val="en-US" w:eastAsia="zh-CN"/>
              </w:rPr>
              <w:t xml:space="preserve">      2.可根据指标数量调整表格行数。</w:t>
            </w:r>
          </w:p>
        </w:tc>
      </w:tr>
    </w:tbl>
    <w:p>
      <w:pPr>
        <w:pStyle w:val="2"/>
        <w:rPr>
          <w:rFonts w:hint="eastAsia"/>
          <w:color w:val="auto"/>
          <w:highlight w:val="none"/>
          <w:lang w:val="en-US" w:eastAsia="zh-CN"/>
        </w:rPr>
        <w:sectPr>
          <w:pgSz w:w="11906" w:h="16838"/>
          <w:pgMar w:top="1871" w:right="1531" w:bottom="1871" w:left="1531" w:header="851"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pStyle w:val="2"/>
        <w:keepNext w:val="0"/>
        <w:keepLines w:val="0"/>
        <w:pageBreakBefore w:val="0"/>
        <w:widowControl w:val="0"/>
        <w:kinsoku/>
        <w:wordWrap/>
        <w:overflowPunct/>
        <w:topLinePunct w:val="0"/>
        <w:autoSpaceDE/>
        <w:autoSpaceDN/>
        <w:bidi w:val="0"/>
        <w:adjustRightInd w:val="0"/>
        <w:snapToGrid w:val="0"/>
        <w:spacing w:line="590" w:lineRule="exact"/>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i w:val="0"/>
          <w:iCs w:val="0"/>
          <w:color w:val="000000"/>
          <w:kern w:val="0"/>
          <w:sz w:val="32"/>
          <w:szCs w:val="32"/>
          <w:highlight w:val="none"/>
          <w:u w:val="none"/>
          <w:lang w:val="en-US" w:eastAsia="zh-CN"/>
        </w:rPr>
        <w:t>附件4</w:t>
      </w:r>
    </w:p>
    <w:p>
      <w:pPr>
        <w:keepNext w:val="0"/>
        <w:keepLines w:val="0"/>
        <w:pageBreakBefore w:val="0"/>
        <w:widowControl w:val="0"/>
        <w:kinsoku/>
        <w:wordWrap/>
        <w:overflowPunct/>
        <w:topLinePunct w:val="0"/>
        <w:autoSpaceDE/>
        <w:autoSpaceDN/>
        <w:bidi w:val="0"/>
        <w:adjustRightInd w:val="0"/>
        <w:snapToGrid w:val="0"/>
        <w:spacing w:line="590" w:lineRule="exact"/>
        <w:textAlignment w:val="auto"/>
        <w:rPr>
          <w:rFonts w:hint="eastAsia"/>
          <w:color w:val="auto"/>
          <w:highlight w:val="none"/>
          <w:lang w:val="en-US" w:eastAsia="zh-CN"/>
        </w:rPr>
      </w:pPr>
    </w:p>
    <w:p>
      <w:pPr>
        <w:pStyle w:val="2"/>
        <w:keepNext w:val="0"/>
        <w:keepLines w:val="0"/>
        <w:pageBreakBefore w:val="0"/>
        <w:widowControl w:val="0"/>
        <w:kinsoku/>
        <w:wordWrap/>
        <w:overflowPunct/>
        <w:topLinePunct w:val="0"/>
        <w:autoSpaceDE/>
        <w:autoSpaceDN/>
        <w:bidi w:val="0"/>
        <w:adjustRightInd w:val="0"/>
        <w:snapToGrid w:val="0"/>
        <w:spacing w:line="590" w:lineRule="exact"/>
        <w:jc w:val="center"/>
        <w:textAlignment w:val="auto"/>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方正小标宋简体" w:eastAsia="方正小标宋简体" w:cs="方正小标宋简体"/>
          <w:i w:val="0"/>
          <w:iCs w:val="0"/>
          <w:color w:val="000000"/>
          <w:kern w:val="0"/>
          <w:sz w:val="44"/>
          <w:szCs w:val="44"/>
          <w:highlight w:val="none"/>
          <w:u w:val="none"/>
          <w:lang w:val="en-US" w:eastAsia="zh-CN"/>
        </w:rPr>
        <w:t>**项目申报书审核意见表</w:t>
      </w:r>
    </w:p>
    <w:p>
      <w:pPr>
        <w:bidi w:val="0"/>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590" w:lineRule="exact"/>
        <w:textAlignment w:val="auto"/>
        <w:rPr>
          <w:rFonts w:hint="eastAsia" w:ascii="仿宋_GB2312" w:hAnsi="宋体" w:eastAsia="仿宋_GB2312" w:cs="仿宋_GB2312"/>
          <w:i w:val="0"/>
          <w:iCs w:val="0"/>
          <w:color w:val="auto"/>
          <w:kern w:val="0"/>
          <w:sz w:val="24"/>
          <w:szCs w:val="24"/>
          <w:highlight w:val="none"/>
          <w:u w:val="none"/>
          <w:lang w:val="en-US" w:eastAsia="zh-CN"/>
        </w:rPr>
      </w:pPr>
      <w:r>
        <w:rPr>
          <w:rFonts w:hint="eastAsia" w:ascii="仿宋_GB2312" w:hAnsi="宋体" w:eastAsia="仿宋_GB2312" w:cs="仿宋_GB2312"/>
          <w:i w:val="0"/>
          <w:iCs w:val="0"/>
          <w:color w:val="auto"/>
          <w:kern w:val="0"/>
          <w:sz w:val="24"/>
          <w:szCs w:val="24"/>
          <w:highlight w:val="none"/>
          <w:u w:val="none"/>
          <w:lang w:val="en-US" w:eastAsia="zh-CN"/>
        </w:rPr>
        <w:t xml:space="preserve">市农业农村局或省直单位：    </w:t>
      </w:r>
      <w:r>
        <w:rPr>
          <w:rFonts w:hint="eastAsia" w:ascii="仿宋_GB2312" w:hAnsi="宋体" w:cs="仿宋_GB2312"/>
          <w:i w:val="0"/>
          <w:iCs w:val="0"/>
          <w:color w:val="auto"/>
          <w:kern w:val="0"/>
          <w:sz w:val="24"/>
          <w:szCs w:val="24"/>
          <w:highlight w:val="none"/>
          <w:u w:val="none"/>
          <w:lang w:val="en-US" w:eastAsia="zh-CN"/>
        </w:rPr>
        <w:t xml:space="preserve">  </w:t>
      </w:r>
      <w:r>
        <w:rPr>
          <w:rFonts w:hint="eastAsia" w:ascii="仿宋_GB2312" w:hAnsi="宋体" w:eastAsia="仿宋_GB2312" w:cs="仿宋_GB2312"/>
          <w:i w:val="0"/>
          <w:iCs w:val="0"/>
          <w:color w:val="auto"/>
          <w:kern w:val="0"/>
          <w:sz w:val="24"/>
          <w:szCs w:val="24"/>
          <w:highlight w:val="none"/>
          <w:u w:val="none"/>
          <w:lang w:val="en-US" w:eastAsia="zh-CN"/>
        </w:rPr>
        <w:t xml:space="preserve"> （盖章）</w:t>
      </w:r>
    </w:p>
    <w:p>
      <w:pPr>
        <w:pStyle w:val="2"/>
        <w:keepNext w:val="0"/>
        <w:keepLines w:val="0"/>
        <w:pageBreakBefore w:val="0"/>
        <w:widowControl w:val="0"/>
        <w:kinsoku/>
        <w:wordWrap/>
        <w:overflowPunct/>
        <w:topLinePunct w:val="0"/>
        <w:autoSpaceDE/>
        <w:autoSpaceDN/>
        <w:bidi w:val="0"/>
        <w:adjustRightInd w:val="0"/>
        <w:snapToGrid w:val="0"/>
        <w:spacing w:line="590" w:lineRule="exact"/>
        <w:textAlignment w:val="auto"/>
        <w:rPr>
          <w:rFonts w:hint="eastAsia"/>
          <w:color w:val="auto"/>
          <w:sz w:val="24"/>
          <w:szCs w:val="24"/>
          <w:highlight w:val="none"/>
          <w:lang w:val="en-US" w:eastAsia="zh-CN"/>
        </w:rPr>
      </w:pPr>
      <w:r>
        <w:rPr>
          <w:rFonts w:hint="eastAsia" w:ascii="仿宋_GB2312" w:hAnsi="宋体" w:eastAsia="仿宋_GB2312" w:cs="仿宋_GB2312"/>
          <w:i w:val="0"/>
          <w:iCs w:val="0"/>
          <w:color w:val="auto"/>
          <w:kern w:val="0"/>
          <w:sz w:val="24"/>
          <w:szCs w:val="24"/>
          <w:highlight w:val="none"/>
          <w:u w:val="none"/>
          <w:lang w:val="en-US" w:eastAsia="zh-CN"/>
        </w:rPr>
        <w:t>项目名称：</w:t>
      </w:r>
    </w:p>
    <w:tbl>
      <w:tblPr>
        <w:tblStyle w:val="16"/>
        <w:tblW w:w="905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40"/>
        <w:gridCol w:w="1397"/>
        <w:gridCol w:w="4163"/>
        <w:gridCol w:w="752"/>
        <w:gridCol w:w="614"/>
        <w:gridCol w:w="830"/>
        <w:gridCol w:w="6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blHeader/>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auto"/>
                <w:sz w:val="18"/>
                <w:szCs w:val="18"/>
                <w:highlight w:val="none"/>
                <w:u w:val="none"/>
              </w:rPr>
            </w:pPr>
            <w:r>
              <w:rPr>
                <w:rFonts w:hint="eastAsia" w:ascii="黑体" w:hAnsi="黑体" w:eastAsia="黑体" w:cs="黑体"/>
                <w:b w:val="0"/>
                <w:bCs w:val="0"/>
                <w:i w:val="0"/>
                <w:iCs w:val="0"/>
                <w:color w:val="auto"/>
                <w:kern w:val="0"/>
                <w:sz w:val="18"/>
                <w:szCs w:val="18"/>
                <w:highlight w:val="none"/>
                <w:u w:val="none"/>
                <w:lang w:val="en-US" w:eastAsia="zh-CN"/>
              </w:rPr>
              <w:t>序号</w:t>
            </w:r>
          </w:p>
        </w:tc>
        <w:tc>
          <w:tcPr>
            <w:tcW w:w="139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auto"/>
                <w:sz w:val="18"/>
                <w:szCs w:val="18"/>
                <w:highlight w:val="none"/>
                <w:u w:val="none"/>
              </w:rPr>
            </w:pPr>
            <w:r>
              <w:rPr>
                <w:rFonts w:hint="eastAsia" w:ascii="黑体" w:hAnsi="黑体" w:eastAsia="黑体" w:cs="黑体"/>
                <w:b w:val="0"/>
                <w:bCs w:val="0"/>
                <w:i w:val="0"/>
                <w:iCs w:val="0"/>
                <w:color w:val="auto"/>
                <w:kern w:val="0"/>
                <w:sz w:val="18"/>
                <w:szCs w:val="18"/>
                <w:highlight w:val="none"/>
                <w:u w:val="none"/>
                <w:lang w:val="en-US" w:eastAsia="zh-CN"/>
              </w:rPr>
              <w:t>审核要点</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auto"/>
                <w:sz w:val="18"/>
                <w:szCs w:val="18"/>
                <w:highlight w:val="none"/>
                <w:u w:val="none"/>
              </w:rPr>
            </w:pPr>
            <w:r>
              <w:rPr>
                <w:rFonts w:hint="eastAsia" w:ascii="黑体" w:hAnsi="黑体" w:eastAsia="黑体" w:cs="黑体"/>
                <w:b w:val="0"/>
                <w:bCs w:val="0"/>
                <w:i w:val="0"/>
                <w:iCs w:val="0"/>
                <w:color w:val="auto"/>
                <w:kern w:val="0"/>
                <w:sz w:val="18"/>
                <w:szCs w:val="18"/>
                <w:highlight w:val="none"/>
                <w:u w:val="none"/>
                <w:lang w:val="en-US" w:eastAsia="zh-CN"/>
              </w:rPr>
              <w:t>审核内容</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auto"/>
                <w:sz w:val="18"/>
                <w:szCs w:val="18"/>
                <w:highlight w:val="none"/>
                <w:u w:val="none"/>
              </w:rPr>
            </w:pPr>
            <w:r>
              <w:rPr>
                <w:rFonts w:hint="eastAsia" w:ascii="黑体" w:hAnsi="黑体" w:eastAsia="黑体" w:cs="黑体"/>
                <w:b w:val="0"/>
                <w:bCs w:val="0"/>
                <w:i w:val="0"/>
                <w:iCs w:val="0"/>
                <w:color w:val="auto"/>
                <w:kern w:val="0"/>
                <w:sz w:val="18"/>
                <w:szCs w:val="18"/>
                <w:highlight w:val="none"/>
                <w:u w:val="none"/>
                <w:lang w:val="en-US" w:eastAsia="zh-CN"/>
              </w:rPr>
              <w:t>符合要求</w:t>
            </w: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auto"/>
                <w:sz w:val="18"/>
                <w:szCs w:val="18"/>
                <w:highlight w:val="none"/>
                <w:u w:val="none"/>
              </w:rPr>
            </w:pPr>
            <w:r>
              <w:rPr>
                <w:rFonts w:hint="eastAsia" w:ascii="黑体" w:hAnsi="黑体" w:eastAsia="黑体" w:cs="黑体"/>
                <w:b w:val="0"/>
                <w:bCs w:val="0"/>
                <w:i w:val="0"/>
                <w:iCs w:val="0"/>
                <w:color w:val="auto"/>
                <w:kern w:val="0"/>
                <w:sz w:val="18"/>
                <w:szCs w:val="18"/>
                <w:highlight w:val="none"/>
                <w:u w:val="none"/>
                <w:lang w:val="en-US" w:eastAsia="zh-CN"/>
              </w:rPr>
              <w:t>部分符合</w:t>
            </w: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auto"/>
                <w:sz w:val="18"/>
                <w:szCs w:val="18"/>
                <w:highlight w:val="none"/>
                <w:u w:val="none"/>
              </w:rPr>
            </w:pPr>
            <w:r>
              <w:rPr>
                <w:rFonts w:hint="eastAsia" w:ascii="黑体" w:hAnsi="黑体" w:eastAsia="黑体" w:cs="黑体"/>
                <w:b w:val="0"/>
                <w:bCs w:val="0"/>
                <w:i w:val="0"/>
                <w:iCs w:val="0"/>
                <w:color w:val="auto"/>
                <w:kern w:val="0"/>
                <w:sz w:val="18"/>
                <w:szCs w:val="18"/>
                <w:highlight w:val="none"/>
                <w:u w:val="none"/>
                <w:lang w:val="en-US" w:eastAsia="zh-CN"/>
              </w:rPr>
              <w:t>不符合</w:t>
            </w: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auto"/>
                <w:sz w:val="18"/>
                <w:szCs w:val="18"/>
                <w:highlight w:val="none"/>
                <w:u w:val="none"/>
              </w:rPr>
            </w:pPr>
            <w:r>
              <w:rPr>
                <w:rFonts w:hint="eastAsia" w:ascii="黑体" w:hAnsi="黑体" w:eastAsia="黑体" w:cs="黑体"/>
                <w:b w:val="0"/>
                <w:bCs w:val="0"/>
                <w:i w:val="0"/>
                <w:iCs w:val="0"/>
                <w:color w:val="auto"/>
                <w:kern w:val="0"/>
                <w:sz w:val="18"/>
                <w:szCs w:val="18"/>
                <w:highlight w:val="none"/>
                <w:u w:val="none"/>
                <w:lang w:val="en-US" w:eastAsia="zh-CN"/>
              </w:rPr>
              <w:t>修改建议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w:t>
            </w:r>
          </w:p>
        </w:tc>
        <w:tc>
          <w:tcPr>
            <w:tcW w:w="139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kern w:val="0"/>
                <w:sz w:val="18"/>
                <w:szCs w:val="18"/>
                <w:highlight w:val="none"/>
                <w:u w:val="none"/>
                <w:lang w:val="en-US" w:eastAsia="zh-CN"/>
              </w:rPr>
            </w:pPr>
            <w:r>
              <w:rPr>
                <w:rFonts w:hint="eastAsia" w:ascii="仿宋_GB2312" w:hAnsi="宋体" w:cs="仿宋_GB2312"/>
                <w:i w:val="0"/>
                <w:iCs w:val="0"/>
                <w:color w:val="auto"/>
                <w:kern w:val="0"/>
                <w:sz w:val="18"/>
                <w:szCs w:val="18"/>
                <w:highlight w:val="none"/>
                <w:u w:val="none"/>
                <w:lang w:val="en-US" w:eastAsia="zh-CN"/>
              </w:rPr>
              <w:t>申报书</w:t>
            </w:r>
            <w:r>
              <w:rPr>
                <w:rFonts w:hint="eastAsia" w:ascii="仿宋_GB2312" w:hAnsi="宋体" w:eastAsia="仿宋_GB2312" w:cs="仿宋_GB2312"/>
                <w:i w:val="0"/>
                <w:iCs w:val="0"/>
                <w:color w:val="auto"/>
                <w:kern w:val="0"/>
                <w:sz w:val="18"/>
                <w:szCs w:val="18"/>
                <w:highlight w:val="none"/>
                <w:u w:val="none"/>
                <w:lang w:val="en-US" w:eastAsia="zh-CN"/>
              </w:rPr>
              <w:t>内容</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完备</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项目基本情况（概况、或背景、或作用意义等）是否清晰。</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2</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项目所属的项目类型是否准确，对应申报指南要求。</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3</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项目建设内容清晰、明确，说明项目选址情况，属于工程类的，应附设计图、规划图。</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4</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是否列出细化的项目支出明细预算。</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5</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是否明确了项目建成效果、验收标准。</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59"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6</w:t>
            </w:r>
          </w:p>
        </w:tc>
        <w:tc>
          <w:tcPr>
            <w:tcW w:w="1397" w:type="dxa"/>
            <w:vMerge w:val="restart"/>
            <w:tcBorders>
              <w:top w:val="nil"/>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符合指南要求</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项目规划的投入比例是否符合要求。</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59"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7</w:t>
            </w:r>
          </w:p>
        </w:tc>
        <w:tc>
          <w:tcPr>
            <w:tcW w:w="1397"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项目建设内容是否符合申报指南确定的各项要求。</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59"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8</w:t>
            </w:r>
          </w:p>
        </w:tc>
        <w:tc>
          <w:tcPr>
            <w:tcW w:w="1397" w:type="dxa"/>
            <w:tcBorders>
              <w:top w:val="nil"/>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实施主体合规</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项目确定的实施主体是否可以承担项目，是否存在不得申报的情形。</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59"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9</w:t>
            </w:r>
          </w:p>
        </w:tc>
        <w:tc>
          <w:tcPr>
            <w:tcW w:w="1397" w:type="dxa"/>
            <w:vMerge w:val="restart"/>
            <w:tcBorders>
              <w:top w:val="nil"/>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预算支出合理、合规性</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项目支出内容是否合规。</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59"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10</w:t>
            </w:r>
          </w:p>
        </w:tc>
        <w:tc>
          <w:tcPr>
            <w:tcW w:w="1397"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项目支出预算明细是否合理。</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11</w:t>
            </w:r>
          </w:p>
        </w:tc>
        <w:tc>
          <w:tcPr>
            <w:tcW w:w="139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绩效目标明确</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项目是否有明确的、可实现的目标任务。</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12</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目标任务有具体数量参数，清晰反映预期产出和效果，与任务数相对应，与资金量相匹配。</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13</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质量。工作成果的质量标准明确。</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14</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时效。各阶段实施时间、项目完成时间明确。</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15</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绩效指标包括了产出类指标和效益类、可持续发展、满意度指标。</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16</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绩效指标包含了与业务相关的个性化关键指标。</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17</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绩效目标反应了中央部委和省委省政府重点工作和政策任务。</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0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18</w:t>
            </w:r>
          </w:p>
        </w:tc>
        <w:tc>
          <w:tcPr>
            <w:tcW w:w="139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项目成熟度</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工程类项目：1.应审查是否有四证：《国有土地使用证》《建设用地规划许可证》《建设工程规划许可证》和《建设工程施工许可证》等相关手续。2.已完成实施方案制定、施工图设计、征地、报建等前期工作。3.是否完成了用海用地审批手续和环境评估手续。4.项目要制定时间表，确认其是否能够在</w:t>
            </w:r>
            <w:r>
              <w:rPr>
                <w:rFonts w:hint="eastAsia" w:ascii="仿宋_GB2312" w:hAnsi="宋体" w:cs="仿宋_GB2312"/>
                <w:i w:val="0"/>
                <w:iCs w:val="0"/>
                <w:color w:val="auto"/>
                <w:kern w:val="0"/>
                <w:sz w:val="18"/>
                <w:szCs w:val="18"/>
                <w:highlight w:val="none"/>
                <w:u w:val="none"/>
                <w:lang w:val="en-US" w:eastAsia="zh-CN"/>
              </w:rPr>
              <w:t>2024</w:t>
            </w:r>
            <w:r>
              <w:rPr>
                <w:rFonts w:hint="eastAsia" w:ascii="仿宋_GB2312" w:hAnsi="宋体" w:eastAsia="仿宋_GB2312" w:cs="仿宋_GB2312"/>
                <w:i w:val="0"/>
                <w:iCs w:val="0"/>
                <w:color w:val="auto"/>
                <w:kern w:val="0"/>
                <w:sz w:val="18"/>
                <w:szCs w:val="18"/>
                <w:highlight w:val="none"/>
                <w:u w:val="none"/>
                <w:lang w:val="en-US" w:eastAsia="zh-CN"/>
              </w:rPr>
              <w:t>年开工实施，不能在当年10月开工的，原则上当年不安排资金或分年度安排。5.审查项目选址是否合理。</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09"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19</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非工程类项目：1.已完成落实实施主体、编制实施方案、完成项目概算等前期工作。2.要制定项目实施时间表，除分年度实施的项目外，确认其能否在</w:t>
            </w:r>
            <w:r>
              <w:rPr>
                <w:rFonts w:hint="eastAsia" w:ascii="仿宋_GB2312" w:hAnsi="宋体" w:cs="仿宋_GB2312"/>
                <w:i w:val="0"/>
                <w:iCs w:val="0"/>
                <w:color w:val="auto"/>
                <w:kern w:val="0"/>
                <w:sz w:val="18"/>
                <w:szCs w:val="18"/>
                <w:highlight w:val="none"/>
                <w:u w:val="none"/>
                <w:lang w:val="en-US" w:eastAsia="zh-CN"/>
              </w:rPr>
              <w:t>2024</w:t>
            </w:r>
            <w:r>
              <w:rPr>
                <w:rFonts w:hint="eastAsia" w:ascii="仿宋_GB2312" w:hAnsi="宋体" w:eastAsia="仿宋_GB2312" w:cs="仿宋_GB2312"/>
                <w:i w:val="0"/>
                <w:iCs w:val="0"/>
                <w:color w:val="auto"/>
                <w:kern w:val="0"/>
                <w:sz w:val="18"/>
                <w:szCs w:val="18"/>
                <w:highlight w:val="none"/>
                <w:u w:val="none"/>
                <w:lang w:val="en-US" w:eastAsia="zh-CN"/>
              </w:rPr>
              <w:t>年实施完毕，当年不能实施完毕的，原则上当年不安排资金或分年度安排。</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20</w:t>
            </w:r>
          </w:p>
        </w:tc>
        <w:tc>
          <w:tcPr>
            <w:tcW w:w="139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项目合规性</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项目本身是否违反现有政策法规。</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21</w:t>
            </w:r>
          </w:p>
        </w:tc>
        <w:tc>
          <w:tcPr>
            <w:tcW w:w="139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项目技术方案可行</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经审核，项目具体实施的可行性、技术路线合理性。</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22</w:t>
            </w:r>
          </w:p>
        </w:tc>
        <w:tc>
          <w:tcPr>
            <w:tcW w:w="1397" w:type="dxa"/>
            <w:tcBorders>
              <w:top w:val="nil"/>
              <w:left w:val="single" w:color="000000" w:sz="4" w:space="0"/>
              <w:bottom w:val="nil"/>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kern w:val="0"/>
                <w:sz w:val="18"/>
                <w:szCs w:val="18"/>
                <w:highlight w:val="none"/>
                <w:u w:val="none"/>
                <w:lang w:val="en-US" w:eastAsia="zh-CN"/>
              </w:rPr>
            </w:pPr>
            <w:r>
              <w:rPr>
                <w:rFonts w:hint="eastAsia" w:ascii="仿宋_GB2312" w:hAnsi="宋体" w:eastAsia="仿宋_GB2312" w:cs="仿宋_GB2312"/>
                <w:i w:val="0"/>
                <w:iCs w:val="0"/>
                <w:color w:val="auto"/>
                <w:kern w:val="0"/>
                <w:sz w:val="18"/>
                <w:szCs w:val="18"/>
                <w:highlight w:val="none"/>
                <w:u w:val="none"/>
                <w:lang w:val="en-US" w:eastAsia="zh-CN"/>
              </w:rPr>
              <w:t>考核/总结</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验收</w:t>
            </w:r>
          </w:p>
        </w:tc>
        <w:tc>
          <w:tcPr>
            <w:tcW w:w="4163" w:type="dxa"/>
            <w:tcBorders>
              <w:top w:val="nil"/>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是否明确了考核/总结/验收办法。</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59"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2037"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审核通过与否的意见</w:t>
            </w:r>
          </w:p>
        </w:tc>
        <w:tc>
          <w:tcPr>
            <w:tcW w:w="7018" w:type="dxa"/>
            <w:gridSpan w:val="5"/>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经审核同意推荐该项目入库。或者是：经审核，该项目暂不符合入库条件。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79" w:hRule="atLeast"/>
          <w:jc w:val="center"/>
        </w:trPr>
        <w:tc>
          <w:tcPr>
            <w:tcW w:w="2037"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kern w:val="0"/>
                <w:sz w:val="18"/>
                <w:szCs w:val="18"/>
                <w:highlight w:val="none"/>
                <w:u w:val="none"/>
                <w:lang w:val="en-US" w:eastAsia="zh-CN"/>
              </w:rPr>
            </w:pPr>
            <w:r>
              <w:rPr>
                <w:rFonts w:hint="eastAsia" w:ascii="仿宋_GB2312" w:hAnsi="宋体" w:eastAsia="仿宋_GB2312" w:cs="仿宋_GB2312"/>
                <w:i w:val="0"/>
                <w:iCs w:val="0"/>
                <w:color w:val="auto"/>
                <w:kern w:val="0"/>
                <w:sz w:val="18"/>
                <w:szCs w:val="18"/>
                <w:highlight w:val="none"/>
                <w:u w:val="none"/>
                <w:lang w:val="en-US" w:eastAsia="zh-CN"/>
              </w:rPr>
              <w:t>项目修改完善建议</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或说明</w:t>
            </w:r>
          </w:p>
        </w:tc>
        <w:tc>
          <w:tcPr>
            <w:tcW w:w="7018" w:type="dxa"/>
            <w:gridSpan w:val="5"/>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请按以下审核意见修改完善，举例：</w:t>
            </w:r>
            <w:r>
              <w:rPr>
                <w:rFonts w:hint="eastAsia" w:ascii="仿宋_GB2312" w:hAnsi="宋体" w:eastAsia="仿宋_GB2312" w:cs="仿宋_GB2312"/>
                <w:i w:val="0"/>
                <w:iCs w:val="0"/>
                <w:color w:val="auto"/>
                <w:kern w:val="0"/>
                <w:sz w:val="18"/>
                <w:szCs w:val="18"/>
                <w:highlight w:val="none"/>
                <w:u w:val="none"/>
                <w:lang w:val="en-US" w:eastAsia="zh-CN"/>
              </w:rPr>
              <w:br w:type="textWrapping"/>
            </w:r>
            <w:r>
              <w:rPr>
                <w:rFonts w:hint="eastAsia" w:ascii="仿宋_GB2312" w:hAnsi="宋体" w:eastAsia="仿宋_GB2312" w:cs="仿宋_GB2312"/>
                <w:i w:val="0"/>
                <w:iCs w:val="0"/>
                <w:color w:val="auto"/>
                <w:kern w:val="0"/>
                <w:sz w:val="18"/>
                <w:szCs w:val="18"/>
                <w:highlight w:val="none"/>
                <w:u w:val="none"/>
                <w:lang w:val="en-US" w:eastAsia="zh-CN"/>
              </w:rPr>
              <w:t>1.项目内容不够完整，请补充XXX。</w:t>
            </w:r>
            <w:r>
              <w:rPr>
                <w:rFonts w:hint="eastAsia" w:ascii="仿宋_GB2312" w:hAnsi="宋体" w:eastAsia="仿宋_GB2312" w:cs="仿宋_GB2312"/>
                <w:i w:val="0"/>
                <w:iCs w:val="0"/>
                <w:color w:val="auto"/>
                <w:kern w:val="0"/>
                <w:sz w:val="18"/>
                <w:szCs w:val="18"/>
                <w:highlight w:val="none"/>
                <w:u w:val="none"/>
                <w:lang w:val="en-US" w:eastAsia="zh-CN"/>
              </w:rPr>
              <w:br w:type="textWrapping"/>
            </w:r>
            <w:r>
              <w:rPr>
                <w:rFonts w:hint="eastAsia" w:ascii="仿宋_GB2312" w:hAnsi="宋体" w:eastAsia="仿宋_GB2312" w:cs="仿宋_GB2312"/>
                <w:i w:val="0"/>
                <w:iCs w:val="0"/>
                <w:color w:val="auto"/>
                <w:kern w:val="0"/>
                <w:sz w:val="18"/>
                <w:szCs w:val="18"/>
                <w:highlight w:val="none"/>
                <w:u w:val="none"/>
                <w:lang w:val="en-US" w:eastAsia="zh-CN"/>
              </w:rPr>
              <w:t>2.支出预算明细中，“其他”占比较大，请进一步细分。</w:t>
            </w:r>
            <w:r>
              <w:rPr>
                <w:rFonts w:hint="eastAsia" w:ascii="仿宋_GB2312" w:hAnsi="宋体" w:eastAsia="仿宋_GB2312" w:cs="仿宋_GB2312"/>
                <w:i w:val="0"/>
                <w:iCs w:val="0"/>
                <w:color w:val="auto"/>
                <w:kern w:val="0"/>
                <w:sz w:val="18"/>
                <w:szCs w:val="18"/>
                <w:highlight w:val="none"/>
                <w:u w:val="none"/>
                <w:lang w:val="en-US" w:eastAsia="zh-CN"/>
              </w:rPr>
              <w:br w:type="textWrapping"/>
            </w:r>
            <w:r>
              <w:rPr>
                <w:rFonts w:hint="eastAsia" w:ascii="仿宋_GB2312" w:hAnsi="宋体" w:eastAsia="仿宋_GB2312" w:cs="仿宋_GB2312"/>
                <w:i w:val="0"/>
                <w:iCs w:val="0"/>
                <w:color w:val="auto"/>
                <w:kern w:val="0"/>
                <w:sz w:val="18"/>
                <w:szCs w:val="18"/>
                <w:highlight w:val="none"/>
                <w:u w:val="none"/>
                <w:lang w:val="en-US" w:eastAsia="zh-CN"/>
              </w:rPr>
              <w:t>3.项目实施的技术路线不合理，建议按XXXX修改。</w:t>
            </w:r>
            <w:r>
              <w:rPr>
                <w:rFonts w:hint="eastAsia" w:ascii="仿宋_GB2312" w:hAnsi="宋体" w:eastAsia="仿宋_GB2312" w:cs="仿宋_GB2312"/>
                <w:i w:val="0"/>
                <w:iCs w:val="0"/>
                <w:color w:val="auto"/>
                <w:kern w:val="0"/>
                <w:sz w:val="18"/>
                <w:szCs w:val="18"/>
                <w:highlight w:val="none"/>
                <w:u w:val="none"/>
                <w:lang w:val="en-US" w:eastAsia="zh-CN"/>
              </w:rPr>
              <w:br w:type="textWrapping"/>
            </w:r>
            <w:r>
              <w:rPr>
                <w:rFonts w:hint="eastAsia" w:ascii="仿宋_GB2312" w:hAnsi="宋体" w:eastAsia="仿宋_GB2312" w:cs="仿宋_GB2312"/>
                <w:i w:val="0"/>
                <w:iCs w:val="0"/>
                <w:color w:val="auto"/>
                <w:kern w:val="0"/>
                <w:sz w:val="18"/>
                <w:szCs w:val="18"/>
                <w:highlight w:val="none"/>
                <w:u w:val="none"/>
                <w:lang w:val="en-US" w:eastAsia="zh-CN"/>
              </w:rPr>
              <w:t>4.请补充项目结项方式方法。</w:t>
            </w:r>
          </w:p>
        </w:tc>
      </w:tr>
    </w:tbl>
    <w:p>
      <w:pPr>
        <w:pStyle w:val="7"/>
        <w:rPr>
          <w:rFonts w:hint="default"/>
          <w:color w:val="auto"/>
          <w:highlight w:val="none"/>
          <w:lang w:val="en-US" w:eastAsia="zh-CN"/>
        </w:rPr>
      </w:pPr>
    </w:p>
    <w:sectPr>
      <w:pgSz w:w="11906" w:h="16838"/>
      <w:pgMar w:top="1871" w:right="1531" w:bottom="1871" w:left="1531" w:header="851" w:footer="1417" w:gutter="0"/>
      <w:pgBorders>
        <w:top w:val="none" w:sz="0" w:space="0"/>
        <w:left w:val="none" w:sz="0" w:space="0"/>
        <w:bottom w:val="none" w:sz="0" w:space="0"/>
        <w:right w:val="none" w:sz="0" w:space="0"/>
      </w:pgBorders>
      <w:pgNumType w:fmt="decimal"/>
      <w:cols w:space="0" w:num="1"/>
      <w:rtlGutter w:val="0"/>
      <w:docGrid w:type="lines" w:linePitch="59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00000000"/>
    <w:lvl w:ilvl="0" w:tentative="0">
      <w:start w:val="2"/>
      <w:numFmt w:val="chineseCounting"/>
      <w:suff w:val="nothing"/>
      <w:lvlText w:val="（%1）"/>
      <w:lvlJc w:val="left"/>
      <w:rPr>
        <w:rFonts w:hint="eastAsia"/>
      </w:rPr>
    </w:lvl>
  </w:abstractNum>
  <w:abstractNum w:abstractNumId="1">
    <w:nsid w:val="00000001"/>
    <w:multiLevelType w:val="singleLevel"/>
    <w:tmpl w:val="00000001"/>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revisionView w:markup="0"/>
  <w:trackRevisions w:val="1"/>
  <w:documentProtection w:enforcement="0"/>
  <w:defaultTabStop w:val="420"/>
  <w:drawingGridVerticalSpacing w:val="298"/>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6273CA"/>
    <w:rsid w:val="0F8F183D"/>
    <w:rsid w:val="1EF117D0"/>
    <w:rsid w:val="23CB182F"/>
    <w:rsid w:val="24526BF4"/>
    <w:rsid w:val="28660E58"/>
    <w:rsid w:val="2A0B7520"/>
    <w:rsid w:val="2F7B2544"/>
    <w:rsid w:val="343231D0"/>
    <w:rsid w:val="36FF793D"/>
    <w:rsid w:val="39923F83"/>
    <w:rsid w:val="3B8308D2"/>
    <w:rsid w:val="3EDA442A"/>
    <w:rsid w:val="49717CB5"/>
    <w:rsid w:val="4D8C0147"/>
    <w:rsid w:val="4E3F3816"/>
    <w:rsid w:val="4EBA2DB7"/>
    <w:rsid w:val="5186674D"/>
    <w:rsid w:val="531F0A6D"/>
    <w:rsid w:val="567D7AFD"/>
    <w:rsid w:val="573584AB"/>
    <w:rsid w:val="5BF13D64"/>
    <w:rsid w:val="5C4A35DB"/>
    <w:rsid w:val="62593818"/>
    <w:rsid w:val="64960A56"/>
    <w:rsid w:val="655C2B7E"/>
    <w:rsid w:val="6A505A77"/>
    <w:rsid w:val="6BF106E6"/>
    <w:rsid w:val="6CB676E2"/>
    <w:rsid w:val="6D4EC5C3"/>
    <w:rsid w:val="6DF75184"/>
    <w:rsid w:val="70E35E7A"/>
    <w:rsid w:val="733F2CB9"/>
    <w:rsid w:val="73EFB2C2"/>
    <w:rsid w:val="767E1A75"/>
    <w:rsid w:val="77D78002"/>
    <w:rsid w:val="7AFF4490"/>
    <w:rsid w:val="7BDF56CD"/>
    <w:rsid w:val="7BDF6A15"/>
    <w:rsid w:val="7BFF15B4"/>
    <w:rsid w:val="7F263BA7"/>
    <w:rsid w:val="BFDD5878"/>
    <w:rsid w:val="CF7F8D63"/>
    <w:rsid w:val="CF96F1E2"/>
    <w:rsid w:val="E37E90E1"/>
    <w:rsid w:val="EFFFB7FE"/>
    <w:rsid w:val="F3FD1CA1"/>
    <w:rsid w:val="F6A72BA4"/>
    <w:rsid w:val="FCF7D46B"/>
    <w:rsid w:val="FDFF2CBD"/>
    <w:rsid w:val="FFF248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20"/>
    <w:qFormat/>
    <w:uiPriority w:val="0"/>
    <w:pPr>
      <w:widowControl w:val="0"/>
      <w:spacing w:before="0" w:after="0" w:line="360" w:lineRule="auto"/>
      <w:ind w:left="0" w:right="0" w:firstLine="640" w:firstLineChars="200"/>
      <w:jc w:val="both"/>
      <w:outlineLvl w:val="0"/>
    </w:pPr>
    <w:rPr>
      <w:rFonts w:ascii="黑体" w:hAnsi="黑体" w:eastAsia="黑体" w:cs="黑体"/>
      <w:kern w:val="2"/>
      <w:sz w:val="32"/>
      <w:szCs w:val="32"/>
      <w:lang w:val="en-US" w:eastAsia="zh-CN" w:bidi="ar-SA"/>
    </w:rPr>
  </w:style>
  <w:style w:type="paragraph" w:styleId="4">
    <w:name w:val="heading 2"/>
    <w:basedOn w:val="1"/>
    <w:next w:val="1"/>
    <w:qFormat/>
    <w:uiPriority w:val="0"/>
    <w:pPr>
      <w:widowControl w:val="0"/>
      <w:spacing w:before="0" w:after="0" w:line="360" w:lineRule="auto"/>
      <w:ind w:left="0" w:right="0" w:firstLine="640" w:firstLineChars="200"/>
      <w:jc w:val="both"/>
      <w:outlineLvl w:val="1"/>
    </w:pPr>
    <w:rPr>
      <w:rFonts w:ascii="楷体_GB2312" w:hAnsi="仿宋_GB2312" w:eastAsia="楷体_GB2312" w:cs="仿宋_GB2312"/>
      <w:b/>
      <w:bCs/>
      <w:kern w:val="2"/>
      <w:sz w:val="32"/>
      <w:szCs w:val="32"/>
      <w:lang w:val="en-US" w:eastAsia="zh-CN" w:bidi="ar-SA"/>
    </w:rPr>
  </w:style>
  <w:style w:type="paragraph" w:styleId="2">
    <w:name w:val="heading 3"/>
    <w:basedOn w:val="1"/>
    <w:next w:val="1"/>
    <w:qFormat/>
    <w:uiPriority w:val="0"/>
    <w:pPr>
      <w:keepNext/>
      <w:keepLines/>
      <w:spacing w:line="413" w:lineRule="auto"/>
      <w:outlineLvl w:val="2"/>
    </w:pPr>
    <w:rPr>
      <w:rFonts w:ascii="Times New Roman" w:hAnsi="Times New Roman" w:eastAsia="宋体" w:cs="Times New Roman"/>
      <w:sz w:val="21"/>
      <w:szCs w:val="24"/>
    </w:rPr>
  </w:style>
  <w:style w:type="paragraph" w:styleId="5">
    <w:name w:val="heading 5"/>
    <w:basedOn w:val="1"/>
    <w:next w:val="1"/>
    <w:qFormat/>
    <w:uiPriority w:val="0"/>
    <w:pPr>
      <w:keepNext/>
      <w:keepLines/>
      <w:spacing w:before="280" w:beforeAutospacing="0" w:after="290" w:afterAutospacing="0" w:line="372" w:lineRule="auto"/>
      <w:outlineLvl w:val="4"/>
    </w:pPr>
    <w:rPr>
      <w:b/>
      <w:sz w:val="28"/>
    </w:rPr>
  </w:style>
  <w:style w:type="character" w:default="1" w:styleId="13">
    <w:name w:val="Default Paragraph Font"/>
    <w:link w:val="14"/>
    <w:qFormat/>
    <w:uiPriority w:val="0"/>
    <w:rPr>
      <w:snapToGrid w:val="0"/>
      <w:kern w:val="0"/>
    </w:rPr>
  </w:style>
  <w:style w:type="table" w:default="1" w:styleId="16">
    <w:name w:val="Normal Table"/>
    <w:qFormat/>
    <w:uiPriority w:val="0"/>
    <w:tblPr>
      <w:tblLayout w:type="fixed"/>
      <w:tblCellMar>
        <w:top w:w="0" w:type="dxa"/>
        <w:left w:w="108" w:type="dxa"/>
        <w:bottom w:w="0" w:type="dxa"/>
        <w:right w:w="108" w:type="dxa"/>
      </w:tblCellMar>
    </w:tblPr>
  </w:style>
  <w:style w:type="paragraph" w:styleId="6">
    <w:name w:val="Normal Indent"/>
    <w:basedOn w:val="1"/>
    <w:qFormat/>
    <w:uiPriority w:val="99"/>
    <w:pPr>
      <w:ind w:firstLine="420"/>
    </w:pPr>
    <w:rPr>
      <w:rFonts w:ascii="Times New Roman" w:hAnsi="Times New Roman"/>
      <w:szCs w:val="20"/>
    </w:rPr>
  </w:style>
  <w:style w:type="paragraph" w:styleId="7">
    <w:name w:val="Body Text"/>
    <w:basedOn w:val="1"/>
    <w:qFormat/>
    <w:uiPriority w:val="0"/>
  </w:style>
  <w:style w:type="paragraph" w:styleId="8">
    <w:name w:val="Body Text Indent"/>
    <w:basedOn w:val="1"/>
    <w:qFormat/>
    <w:uiPriority w:val="0"/>
    <w:pPr>
      <w:spacing w:after="120"/>
      <w:ind w:left="420" w:leftChars="200"/>
    </w:pPr>
  </w:style>
  <w:style w:type="paragraph" w:styleId="9">
    <w:name w:val="footer"/>
    <w:basedOn w:val="1"/>
    <w:qFormat/>
    <w:uiPriority w:val="99"/>
    <w:pPr>
      <w:tabs>
        <w:tab w:val="center" w:pos="4153"/>
        <w:tab w:val="right" w:pos="8306"/>
      </w:tabs>
      <w:snapToGrid w:val="0"/>
      <w:jc w:val="left"/>
    </w:pPr>
    <w:rPr>
      <w:sz w:val="18"/>
      <w:szCs w:val="18"/>
    </w:rPr>
  </w:style>
  <w:style w:type="paragraph" w:styleId="10">
    <w:name w:val="Body Text First Indent 2"/>
    <w:basedOn w:val="8"/>
    <w:qFormat/>
    <w:uiPriority w:val="0"/>
    <w:pPr>
      <w:spacing w:after="0"/>
      <w:ind w:firstLine="420" w:firstLineChars="200"/>
    </w:p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Normal (Web)"/>
    <w:basedOn w:val="1"/>
    <w:qFormat/>
    <w:uiPriority w:val="99"/>
    <w:pPr>
      <w:widowControl/>
      <w:spacing w:before="100" w:beforeAutospacing="1" w:after="100" w:afterAutospacing="1"/>
      <w:jc w:val="left"/>
    </w:pPr>
    <w:rPr>
      <w:rFonts w:ascii="宋体" w:hAnsi="宋体" w:cs="宋体"/>
      <w:kern w:val="0"/>
      <w:sz w:val="24"/>
    </w:rPr>
  </w:style>
  <w:style w:type="paragraph" w:customStyle="1" w:styleId="14">
    <w:name w:val=" Char Char Char Char Char Char"/>
    <w:basedOn w:val="1"/>
    <w:link w:val="13"/>
    <w:qFormat/>
    <w:uiPriority w:val="0"/>
    <w:pPr>
      <w:widowControl/>
      <w:spacing w:after="160" w:line="240" w:lineRule="exact"/>
      <w:jc w:val="left"/>
    </w:pPr>
    <w:rPr>
      <w:snapToGrid w:val="0"/>
      <w:kern w:val="0"/>
    </w:rPr>
  </w:style>
  <w:style w:type="character" w:styleId="15">
    <w:name w:val="Strong"/>
    <w:basedOn w:val="13"/>
    <w:qFormat/>
    <w:uiPriority w:val="22"/>
    <w:rPr>
      <w:b/>
      <w:bCs/>
    </w:rPr>
  </w:style>
  <w:style w:type="paragraph" w:customStyle="1" w:styleId="17">
    <w:name w:val="一级标题"/>
    <w:basedOn w:val="1"/>
    <w:qFormat/>
    <w:uiPriority w:val="0"/>
    <w:pPr>
      <w:adjustRightInd w:val="0"/>
      <w:snapToGrid w:val="0"/>
      <w:spacing w:line="580" w:lineRule="exact"/>
      <w:ind w:firstLine="640" w:firstLineChars="200"/>
      <w:jc w:val="left"/>
      <w:outlineLvl w:val="0"/>
    </w:pPr>
    <w:rPr>
      <w:rFonts w:hint="eastAsia" w:ascii="仿宋_GB2312" w:hAnsi="仿宋_GB2312" w:eastAsia="黑体" w:cs="仿宋_GB2312"/>
      <w:bCs/>
      <w:sz w:val="32"/>
      <w:szCs w:val="32"/>
    </w:rPr>
  </w:style>
  <w:style w:type="paragraph" w:customStyle="1" w:styleId="18">
    <w:name w:val="二级标题"/>
    <w:basedOn w:val="1"/>
    <w:qFormat/>
    <w:uiPriority w:val="0"/>
    <w:pPr>
      <w:adjustRightInd w:val="0"/>
      <w:snapToGrid w:val="0"/>
      <w:spacing w:line="580" w:lineRule="exact"/>
      <w:ind w:firstLine="640" w:firstLineChars="200"/>
      <w:jc w:val="left"/>
      <w:outlineLvl w:val="0"/>
    </w:pPr>
    <w:rPr>
      <w:rFonts w:hint="eastAsia" w:ascii="仿宋_GB2312" w:hAnsi="仿宋_GB2312" w:eastAsia="楷体_GB2312" w:cs="仿宋_GB2312"/>
      <w:bCs/>
      <w:sz w:val="32"/>
      <w:szCs w:val="32"/>
    </w:rPr>
  </w:style>
  <w:style w:type="paragraph" w:customStyle="1" w:styleId="19">
    <w:name w:val="三级标题"/>
    <w:basedOn w:val="1"/>
    <w:qFormat/>
    <w:uiPriority w:val="0"/>
    <w:pPr>
      <w:adjustRightInd w:val="0"/>
      <w:snapToGrid w:val="0"/>
      <w:spacing w:line="580" w:lineRule="exact"/>
      <w:ind w:firstLine="640" w:firstLineChars="200"/>
      <w:jc w:val="left"/>
      <w:outlineLvl w:val="0"/>
    </w:pPr>
    <w:rPr>
      <w:rFonts w:hint="eastAsia" w:ascii="仿宋_GB2312" w:hAnsi="仿宋_GB2312" w:eastAsia="仿宋_GB2312" w:cs="仿宋_GB2312"/>
      <w:b/>
      <w:bCs/>
      <w:sz w:val="32"/>
      <w:szCs w:val="32"/>
    </w:rPr>
  </w:style>
  <w:style w:type="character" w:customStyle="1" w:styleId="20">
    <w:name w:val="标题 1 Char"/>
    <w:link w:val="3"/>
    <w:qFormat/>
    <w:uiPriority w:val="0"/>
    <w:rPr>
      <w:rFonts w:ascii="黑体" w:hAnsi="黑体" w:eastAsia="黑体" w:cs="黑体"/>
      <w:kern w:val="2"/>
      <w:sz w:val="32"/>
      <w:szCs w:val="32"/>
      <w:lang w:val="en-US" w:eastAsia="zh-CN" w:bidi="ar-SA"/>
    </w:rPr>
  </w:style>
  <w:style w:type="paragraph" w:customStyle="1" w:styleId="21">
    <w:name w:val="A正文"/>
    <w:basedOn w:val="1"/>
    <w:qFormat/>
    <w:uiPriority w:val="0"/>
    <w:pPr>
      <w:ind w:firstLine="200" w:firstLineChars="200"/>
    </w:pPr>
  </w:style>
  <w:style w:type="character" w:customStyle="1" w:styleId="22">
    <w:name w:val="font91"/>
    <w:basedOn w:val="13"/>
    <w:qFormat/>
    <w:uiPriority w:val="0"/>
    <w:rPr>
      <w:rFonts w:hint="default" w:ascii="Times New Roman" w:hAnsi="Times New Roman" w:cs="Times New Roman"/>
      <w:b/>
      <w:bCs/>
      <w:color w:val="000000"/>
      <w:sz w:val="18"/>
      <w:szCs w:val="18"/>
      <w:u w:val="none"/>
    </w:rPr>
  </w:style>
  <w:style w:type="character" w:customStyle="1" w:styleId="23">
    <w:name w:val="font51"/>
    <w:basedOn w:val="13"/>
    <w:qFormat/>
    <w:uiPriority w:val="0"/>
    <w:rPr>
      <w:rFonts w:hint="eastAsia" w:ascii="宋体" w:hAnsi="宋体" w:eastAsia="宋体" w:cs="宋体"/>
      <w:b/>
      <w:bCs/>
      <w:color w:val="000000"/>
      <w:sz w:val="18"/>
      <w:szCs w:val="18"/>
      <w:u w:val="none"/>
    </w:rPr>
  </w:style>
  <w:style w:type="character" w:customStyle="1" w:styleId="24">
    <w:name w:val="font101"/>
    <w:basedOn w:val="13"/>
    <w:qFormat/>
    <w:uiPriority w:val="0"/>
    <w:rPr>
      <w:rFonts w:hint="default" w:ascii="Times New Roman" w:hAnsi="Times New Roman" w:cs="Times New Roman"/>
      <w:color w:val="000000"/>
      <w:sz w:val="18"/>
      <w:szCs w:val="18"/>
      <w:u w:val="none"/>
    </w:rPr>
  </w:style>
  <w:style w:type="character" w:customStyle="1" w:styleId="25">
    <w:name w:val="font61"/>
    <w:basedOn w:val="13"/>
    <w:qFormat/>
    <w:uiPriority w:val="0"/>
    <w:rPr>
      <w:rFonts w:hint="eastAsia" w:ascii="宋体" w:hAnsi="宋体" w:eastAsia="宋体" w:cs="宋体"/>
      <w:color w:val="000000"/>
      <w:sz w:val="18"/>
      <w:szCs w:val="18"/>
      <w:u w:val="none"/>
    </w:rPr>
  </w:style>
  <w:style w:type="character" w:customStyle="1" w:styleId="26">
    <w:name w:val="font21"/>
    <w:basedOn w:val="13"/>
    <w:qFormat/>
    <w:uiPriority w:val="0"/>
    <w:rPr>
      <w:rFonts w:hint="eastAsia" w:ascii="宋体" w:hAnsi="宋体" w:eastAsia="宋体" w:cs="宋体"/>
      <w:color w:val="000000"/>
      <w:sz w:val="22"/>
      <w:szCs w:val="22"/>
      <w:u w:val="none"/>
    </w:rPr>
  </w:style>
  <w:style w:type="paragraph" w:styleId="27">
    <w:name w:val="List Paragraph"/>
    <w:basedOn w:val="1"/>
    <w:qFormat/>
    <w:uiPriority w:val="1"/>
    <w:pPr>
      <w:ind w:left="120" w:hanging="239"/>
    </w:pPr>
    <w:rPr>
      <w:rFonts w:ascii="宋体" w:hAnsi="宋体" w:eastAsia="宋体" w:cs="宋体"/>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63</Pages>
  <Words>29647</Words>
  <Characters>30861</Characters>
  <Paragraphs>2044</Paragraphs>
  <TotalTime>11</TotalTime>
  <ScaleCrop>false</ScaleCrop>
  <LinksUpToDate>false</LinksUpToDate>
  <CharactersWithSpaces>31080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2022-03-13T10:25:00Z</dcterms:created>
  <dc:creator>Zheng</dc:creator>
  <cp:lastModifiedBy>谢曼莹1673944446715</cp:lastModifiedBy>
  <cp:lastPrinted>2024-08-19T14:11:00Z</cp:lastPrinted>
  <dcterms:modified xsi:type="dcterms:W3CDTF">2024-09-03T08:33:50Z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y fmtid="{D5CDD505-2E9C-101B-9397-08002B2CF9AE}" pid="3" name="ICV">
    <vt:lpwstr>15781FA07D814E3D9624789F6ABB083E</vt:lpwstr>
  </property>
  <property fmtid="{D5CDD505-2E9C-101B-9397-08002B2CF9AE}" pid="4" name="close">
    <vt:lpwstr>true</vt:lpwstr>
  </property>
  <property fmtid="{D5CDD505-2E9C-101B-9397-08002B2CF9AE}" pid="5" name="userName">
    <vt:lpwstr>李艳梅</vt:lpwstr>
  </property>
  <property fmtid="{D5CDD505-2E9C-101B-9397-08002B2CF9AE}" pid="6" name="showFlag">
    <vt:bool>false</vt:bool>
  </property>
</Properties>
</file>