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240" w:lineRule="auto"/>
        <w:jc w:val="left"/>
        <w:rPr>
          <w:rFonts w:hint="eastAsia" w:ascii="黑体" w:hAnsi="黑体" w:eastAsia="黑体" w:cs="黑体"/>
          <w:sz w:val="32"/>
          <w:szCs w:val="32"/>
          <w:lang w:val="en-US" w:eastAsia="zh-CN"/>
        </w:rPr>
      </w:pPr>
      <w:bookmarkStart w:id="156" w:name="_GoBack"/>
      <w:bookmarkEnd w:id="156"/>
      <w:r>
        <w:rPr>
          <w:rFonts w:hint="eastAsia" w:ascii="黑体" w:hAnsi="黑体" w:eastAsia="黑体" w:cs="黑体"/>
          <w:sz w:val="32"/>
          <w:szCs w:val="32"/>
          <w:lang w:val="en-US" w:eastAsia="zh-CN"/>
        </w:rPr>
        <w:t>附件5-1</w:t>
      </w:r>
    </w:p>
    <w:p>
      <w:pPr>
        <w:bidi w:val="0"/>
        <w:spacing w:line="240" w:lineRule="auto"/>
        <w:rPr>
          <w:rFonts w:hint="eastAsia"/>
          <w:lang w:val="en-US" w:eastAsia="zh-CN"/>
        </w:rPr>
      </w:pPr>
    </w:p>
    <w:p>
      <w:pPr>
        <w:bidi w:val="0"/>
        <w:spacing w:line="240" w:lineRule="auto"/>
        <w:rPr>
          <w:rFonts w:hint="eastAsia"/>
          <w:lang w:val="en-US" w:eastAsia="zh-CN"/>
        </w:rPr>
      </w:pPr>
    </w:p>
    <w:p>
      <w:pPr>
        <w:pStyle w:val="4"/>
        <w:bidi w:val="0"/>
        <w:spacing w:line="240" w:lineRule="auto"/>
        <w:rPr>
          <w:rFonts w:hint="eastAsia"/>
          <w:lang w:val="en-US" w:eastAsia="zh-CN"/>
        </w:rPr>
      </w:pPr>
      <w:r>
        <w:rPr>
          <w:rFonts w:hint="eastAsia"/>
        </w:rPr>
        <w:t>高标准农田建设项目</w:t>
      </w:r>
      <w:r>
        <w:rPr>
          <w:rFonts w:hint="eastAsia"/>
          <w:lang w:val="en-US" w:eastAsia="zh-CN"/>
        </w:rPr>
        <w:t>申报书模板</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bl>
      <w:tblPr>
        <w:tblStyle w:val="14"/>
        <w:tblW w:w="8472" w:type="dxa"/>
        <w:jc w:val="center"/>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黑体" w:hAnsi="宋体" w:eastAsia="黑体" w:cs="Times New Roman"/>
                <w:color w:val="auto"/>
                <w:sz w:val="28"/>
                <w:szCs w:val="28"/>
              </w:rPr>
            </w:pPr>
          </w:p>
        </w:tc>
      </w:tr>
      <w:tr>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kern w:val="2"/>
                <w:sz w:val="28"/>
                <w:szCs w:val="28"/>
                <w:lang w:val="en-US" w:eastAsia="zh-CN" w:bidi="ar-SA"/>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kinsoku/>
        <w:wordWrap/>
        <w:overflowPunct/>
        <w:topLinePunct w:val="0"/>
        <w:autoSpaceDN/>
        <w:bidi w:val="0"/>
        <w:adjustRightInd/>
        <w:snapToGrid/>
        <w:spacing w:line="240" w:lineRule="auto"/>
        <w:ind w:firstLine="0" w:firstLineChars="0"/>
        <w:jc w:val="left"/>
        <w:textAlignment w:val="auto"/>
        <w:outlineLvl w:val="9"/>
        <w:rPr>
          <w:lang w:val="en-US" w:eastAsia="zh-CN"/>
        </w:rPr>
      </w:pPr>
    </w:p>
    <w:p>
      <w:pPr>
        <w:keepNext w:val="0"/>
        <w:keepLines w:val="0"/>
        <w:pageBreakBefore w:val="0"/>
        <w:widowControl/>
        <w:kinsoku/>
        <w:wordWrap/>
        <w:overflowPunct/>
        <w:topLinePunct w:val="0"/>
        <w:autoSpaceDN/>
        <w:bidi w:val="0"/>
        <w:adjustRightInd/>
        <w:snapToGrid/>
        <w:spacing w:line="240" w:lineRule="auto"/>
        <w:ind w:firstLine="0" w:firstLineChars="0"/>
        <w:jc w:val="left"/>
        <w:textAlignment w:val="auto"/>
        <w:outlineLvl w:val="9"/>
        <w:rPr>
          <w:lang w:val="en-US" w:eastAsia="zh-CN"/>
        </w:rPr>
      </w:pPr>
    </w:p>
    <w:p>
      <w:pPr>
        <w:adjustRightInd/>
        <w:snapToGrid/>
        <w:spacing w:line="240" w:lineRule="auto"/>
        <w:ind w:firstLine="0" w:firstLineChars="0"/>
      </w:pPr>
    </w:p>
    <w:p>
      <w:pPr>
        <w:widowControl/>
        <w:ind w:firstLine="0" w:firstLineChars="0"/>
        <w:jc w:val="left"/>
        <w:outlineLvl w:val="9"/>
        <w:rPr>
          <w:lang w:val="en-US" w:eastAsia="zh-CN"/>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N/>
        <w:bidi w:val="0"/>
        <w:adjustRightInd w:val="0"/>
        <w:snapToGrid w:val="0"/>
        <w:spacing w:line="420" w:lineRule="exact"/>
        <w:jc w:val="center"/>
        <w:textAlignment w:val="auto"/>
        <w:rPr>
          <w:rFonts w:hint="eastAsia" w:ascii="楷体_GB2312" w:hAnsi="楷体_GB2312" w:eastAsia="楷体_GB2312" w:cs="楷体_GB2312"/>
          <w:b/>
          <w:bCs w:val="0"/>
          <w:color w:val="auto"/>
          <w:sz w:val="32"/>
          <w:szCs w:val="32"/>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0" w:name="_Toc45722995"/>
      <w:r>
        <w:rPr>
          <w:rFonts w:hint="eastAsia" w:ascii="方正小标宋简体" w:hAnsi="方正小标宋简体" w:eastAsia="方正小标宋简体" w:cs="方正小标宋简体"/>
          <w:b w:val="0"/>
          <w:bCs w:val="0"/>
          <w:color w:val="auto"/>
          <w:sz w:val="36"/>
          <w:szCs w:val="36"/>
        </w:rPr>
        <w:t>综合说明</w:t>
      </w:r>
      <w:bookmarkEnd w:id="0"/>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 w:name="_Toc45722996"/>
      <w:bookmarkStart w:id="2" w:name="_Toc14854180"/>
      <w:r>
        <w:rPr>
          <w:rFonts w:hint="eastAsia" w:ascii="黑体" w:hAnsi="黑体" w:eastAsia="黑体" w:cs="黑体"/>
          <w:b w:val="0"/>
          <w:bCs w:val="0"/>
          <w:color w:val="auto"/>
          <w:kern w:val="2"/>
          <w:sz w:val="28"/>
          <w:szCs w:val="28"/>
          <w:lang w:val="en-US" w:eastAsia="zh-CN" w:bidi="ar-SA"/>
        </w:rPr>
        <w:t>项目背景</w:t>
      </w:r>
      <w:bookmarkEnd w:id="1"/>
      <w:bookmarkEnd w:id="2"/>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eastAsia="仿宋_GB2312" w:cs="仿宋_GB2312"/>
          <w:snapToGrid w:val="0"/>
          <w:color w:val="auto"/>
          <w:spacing w:val="-6"/>
          <w:kern w:val="0"/>
          <w:sz w:val="28"/>
          <w:szCs w:val="28"/>
        </w:rPr>
        <w:t>美丽乡村的现实要求；是进一步提升农业</w:t>
      </w:r>
      <w:r>
        <w:rPr>
          <w:rFonts w:hint="eastAsia" w:ascii="仿宋_GB2312" w:hAnsi="仿宋_GB2312" w:cs="仿宋_GB2312"/>
          <w:snapToGrid w:val="0"/>
          <w:color w:val="auto"/>
          <w:spacing w:val="-6"/>
          <w:kern w:val="0"/>
          <w:sz w:val="28"/>
          <w:szCs w:val="28"/>
          <w:lang w:eastAsia="zh-CN"/>
        </w:rPr>
        <w:t>生产</w:t>
      </w:r>
      <w:r>
        <w:rPr>
          <w:rFonts w:hint="eastAsia" w:ascii="仿宋_GB2312" w:hAnsi="仿宋_GB2312" w:eastAsia="仿宋_GB2312" w:cs="仿宋_GB2312"/>
          <w:snapToGrid w:val="0"/>
          <w:color w:val="auto"/>
          <w:spacing w:val="-6"/>
          <w:kern w:val="0"/>
          <w:sz w:val="28"/>
          <w:szCs w:val="28"/>
        </w:rPr>
        <w:t>水平和创新开发的需要</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年高标准农田项目统一上图入库》资料进行筛选的基础上，筛选2011年以来未实施过高标项目的区域，拟定在XX镇、XX镇、XX镇等三个乡镇内实施“XX市XX县XX镇等3个乡镇高标准农田建设项目（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年度）”2.16万亩（其中高效节水灌溉面积1000亩）。XX县所在地各部门2011-2019年在本项目涉及镇、村已实施的上图入库情况见表1.1-1。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  项目区 2011-2019 年已上图入库情况统计表</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乡镇名</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行政村名</w:t>
            </w:r>
          </w:p>
        </w:tc>
        <w:tc>
          <w:tcPr>
            <w:tcW w:w="14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自然村名</w:t>
            </w:r>
          </w:p>
        </w:tc>
        <w:tc>
          <w:tcPr>
            <w:tcW w:w="255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耕地面积（亩）</w:t>
            </w:r>
          </w:p>
        </w:tc>
        <w:tc>
          <w:tcPr>
            <w:tcW w:w="134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水田</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旱地</w:t>
            </w:r>
          </w:p>
        </w:tc>
        <w:tc>
          <w:tcPr>
            <w:tcW w:w="134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马家村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1959</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李家村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825.6</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兴隆村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1416.0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3943.8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2456.2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6399.9</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杨家村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1248.5</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3157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汉泗村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1938.8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1245.8</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3185</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复兴村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1739.3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895.0</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5586.1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3389.4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8975.4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2527.3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1464.1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3991.4</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1820.4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5811.8</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8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13521.27 </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7665.91 </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21187.18 </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毛家岗镇</w:t>
            </w: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青泉村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6899</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6898.8</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3987.0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1886.9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5874</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1684.0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1133.2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2817</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5671.0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3020.1</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8691.1</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23347.2</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13429.9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36777.1</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4797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highlight w:val="none"/>
        </w:rPr>
      </w:pPr>
      <w:bookmarkStart w:id="3" w:name="_Toc2357"/>
      <w:bookmarkStart w:id="4" w:name="_Toc45722997"/>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项目名称</w:t>
      </w:r>
      <w:bookmarkEnd w:id="3"/>
      <w:bookmarkEnd w:id="4"/>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项目的全称：（XX市XX县</w:t>
      </w:r>
      <w:r>
        <w:rPr>
          <w:rFonts w:hint="eastAsia" w:ascii="仿宋_GB2312" w:hAnsi="Times New Roman" w:eastAsia="仿宋_GB2312" w:cs="Times New Roman"/>
          <w:color w:val="auto"/>
          <w:sz w:val="28"/>
          <w:szCs w:val="28"/>
          <w:lang w:val="en-US" w:eastAsia="zh-CN"/>
        </w:rPr>
        <w:t>XX镇XX村（片区）</w:t>
      </w:r>
      <w:r>
        <w:rPr>
          <w:rFonts w:hint="eastAsia" w:ascii="仿宋_GB2312" w:hAnsi="Times New Roman" w:eastAsia="仿宋_GB2312" w:cs="Times New Roman"/>
          <w:color w:val="auto"/>
          <w:sz w:val="28"/>
          <w:szCs w:val="28"/>
        </w:rPr>
        <w:t>高标准农田建</w:t>
      </w:r>
      <w:r>
        <w:rPr>
          <w:rFonts w:hint="eastAsia" w:ascii="仿宋_GB2312" w:hAnsi="Times New Roman" w:eastAsia="仿宋_GB2312" w:cs="Times New Roman"/>
          <w:color w:val="auto"/>
          <w:sz w:val="28"/>
          <w:szCs w:val="28"/>
          <w:highlight w:val="none"/>
        </w:rPr>
        <w:t>设项目</w:t>
      </w:r>
      <w:r>
        <w:rPr>
          <w:rFonts w:hint="eastAsia" w:ascii="仿宋_GB2312" w:hAnsi="仿宋_GB2312" w:eastAsia="仿宋_GB2312" w:cs="仿宋_GB2312"/>
          <w:color w:val="auto"/>
          <w:sz w:val="28"/>
          <w:szCs w:val="28"/>
        </w:rPr>
        <w:t>（202</w:t>
      </w:r>
      <w:r>
        <w:rPr>
          <w:rFonts w:hint="eastAsia" w:ascii="仿宋_GB2312" w:hAnsi="仿宋_GB2312" w:cs="仿宋_GB2312"/>
          <w:color w:val="auto"/>
          <w:sz w:val="28"/>
          <w:szCs w:val="28"/>
          <w:lang w:val="en-US" w:eastAsia="zh-CN"/>
        </w:rPr>
        <w:t>X</w:t>
      </w:r>
      <w:r>
        <w:rPr>
          <w:rFonts w:hint="eastAsia" w:ascii="仿宋_GB2312" w:hAnsi="仿宋_GB2312" w:eastAsia="仿宋_GB2312" w:cs="仿宋_GB2312"/>
          <w:color w:val="auto"/>
          <w:sz w:val="28"/>
          <w:szCs w:val="28"/>
        </w:rPr>
        <w:t>年度）</w:t>
      </w:r>
      <w:r>
        <w:rPr>
          <w:rFonts w:hint="eastAsia" w:ascii="仿宋_GB2312" w:hAnsi="Times New Roman" w:eastAsia="仿宋_GB2312" w:cs="Times New Roman"/>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default" w:ascii="黑体" w:hAnsi="黑体" w:eastAsia="黑体" w:cs="黑体"/>
          <w:b w:val="0"/>
          <w:bCs w:val="0"/>
          <w:color w:val="auto"/>
          <w:kern w:val="2"/>
          <w:sz w:val="28"/>
          <w:szCs w:val="28"/>
          <w:lang w:val="en-US" w:eastAsia="zh-CN" w:bidi="ar-SA"/>
        </w:rPr>
      </w:pPr>
      <w:bookmarkStart w:id="5" w:name="_Toc45722998"/>
      <w:bookmarkStart w:id="6" w:name="_Toc9991"/>
      <w:r>
        <w:rPr>
          <w:rFonts w:hint="eastAsia" w:ascii="黑体" w:hAnsi="黑体" w:eastAsia="黑体" w:cs="黑体"/>
          <w:b w:val="0"/>
          <w:bCs w:val="0"/>
          <w:color w:val="auto"/>
          <w:kern w:val="2"/>
          <w:sz w:val="28"/>
          <w:szCs w:val="28"/>
          <w:lang w:val="en-US" w:eastAsia="zh-CN" w:bidi="ar-SA"/>
        </w:rPr>
        <w:t>主管部门</w:t>
      </w:r>
      <w:bookmarkEnd w:id="5"/>
      <w:bookmarkEnd w:id="6"/>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项目主管部门的全称：（XX市XX县农业农村局）。</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 w:name="_Toc14854181"/>
      <w:bookmarkStart w:id="8" w:name="_Toc45722999"/>
      <w:r>
        <w:rPr>
          <w:rFonts w:hint="eastAsia" w:ascii="黑体" w:hAnsi="黑体" w:eastAsia="黑体" w:cs="黑体"/>
          <w:b w:val="0"/>
          <w:bCs w:val="0"/>
          <w:color w:val="auto"/>
          <w:kern w:val="2"/>
          <w:sz w:val="28"/>
          <w:szCs w:val="28"/>
          <w:lang w:val="en-US" w:eastAsia="zh-CN" w:bidi="ar-SA"/>
        </w:rPr>
        <w:t>项目区范围、任务、主要建设内容及工期</w:t>
      </w:r>
      <w:bookmarkEnd w:id="7"/>
      <w:bookmarkEnd w:id="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项目区范围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项目实施地点位于XX镇的XX、</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村，共3个镇5个村。项目区北面以</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村为界，该村地理坐标为东经111°49′86″,北纬29°31′44″；西部以XX村为界，该村地理坐标为东经111°48′18″,北纬29°30′72″；东部以黄林堰村为界，该村地理坐标为东经111°53′64″, 北纬29°31′14″；南部以金坪村为界，该村地理坐标为东经111°51′18″,北纬29°28′44″。项目区国土面积53.58平方公里。</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建设任务与目标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（1）建设任务 </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年度）高标准农田建设任务为2.16万亩，其中高效节水灌溉面积0.1万亩。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2）土壤改良。通过施用生石灰、深耕、改善灌排条件等措施改良土壤理化性状；施用农家肥、秸杆还田、种植绿肥、种植肥用油菜等措施，提升土壤有机质含量。耕地质量提高0.5个等级。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3）灌溉与排水标准。灌溉设计保证率达90%；灌溉水利用系数达到0.76；水稻区10年一遇的3d暴雨，3d排至作物的耐淹深度；旱地排涝标准为10年一遇的1d暴雨，1d排至田面无积水。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根据项目区存在的问题，本项目涉及土壤改良工程、灌溉与排水工程、高效节水灌溉工程、田间道路工程、农田防护和生态环境保护工程和科技推广措施等六大工程。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（1）土壤改良工程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土壤改良总面积1.96万亩，其中：贫瘠土壤改良面积1.67万亩，酸性土壤改良面积0.29万亩。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1）水源工程：加固改造堰塘66座（其中项目区外填平补齐14座），改造电灌站1座。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2）输排水工程：改造灌排沟渠47条1.96km，其中改造田间渠（QT）7条0.13km，灌渠（QG）13条0.98km（其中4条骨干灌渠），灌排渠（QP）20条0.65km。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渠系建筑物：新建人行桥116处，机耕桥57座，节制闸85处，过路圆涵121处，分水口293处，下河踏步82处，跌水31处。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（3）高效节水灌溉工程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新建低压管道输水灌溉面积0.1万亩，铺设输水管道1.9km，配套闸阀井14处，给水栓井39处。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新修、整修机耕路36条15.13km；配套下田坡道119座，会车道52处。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（5）农田防护及生态环境保持工程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新建护路护沟（渠）林2973m，人居环境整治5处（堰塘护岸、绿化、修建行人漫步道）。</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（6）科技推广措施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对项目区受益农民先进适用技术培训</w:t>
      </w:r>
      <w:r>
        <w:rPr>
          <w:rFonts w:hint="eastAsia" w:ascii="仿宋_GB2312" w:hAnsi="仿宋_GB2312" w:cs="仿宋_GB2312"/>
          <w:color w:val="auto"/>
          <w:sz w:val="28"/>
          <w:szCs w:val="28"/>
          <w:lang w:eastAsia="zh-CN"/>
        </w:rPr>
        <w:t>及其他措施</w:t>
      </w:r>
      <w:r>
        <w:rPr>
          <w:rFonts w:hint="eastAsia" w:ascii="仿宋_GB2312" w:hAnsi="仿宋_GB2312" w:eastAsia="仿宋_GB2312" w:cs="仿宋_GB2312"/>
          <w:color w:val="auto"/>
          <w:sz w:val="28"/>
          <w:szCs w:val="28"/>
        </w:rPr>
        <w:t>。</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建设工期</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本项目建设期为9个月，其中：工程筹建期安排在</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年的</w:t>
      </w:r>
      <w:r>
        <w:rPr>
          <w:rFonts w:hint="eastAsia" w:ascii="仿宋_GB2312" w:hAnsi="仿宋_GB2312" w:cs="仿宋_GB2312"/>
          <w:color w:val="auto"/>
          <w:sz w:val="28"/>
          <w:szCs w:val="28"/>
          <w:lang w:val="en-US" w:eastAsia="zh-CN"/>
        </w:rPr>
        <w:t>6</w:t>
      </w:r>
      <w:r>
        <w:rPr>
          <w:rFonts w:hint="eastAsia" w:ascii="仿宋_GB2312" w:hAnsi="仿宋_GB2312" w:eastAsia="仿宋_GB2312" w:cs="仿宋_GB2312"/>
          <w:color w:val="auto"/>
          <w:sz w:val="28"/>
          <w:szCs w:val="28"/>
        </w:rPr>
        <w:t>月1日至</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8</w:t>
      </w:r>
      <w:r>
        <w:rPr>
          <w:rFonts w:hint="eastAsia" w:ascii="仿宋_GB2312" w:hAnsi="仿宋_GB2312" w:eastAsia="仿宋_GB2312" w:cs="仿宋_GB2312"/>
          <w:color w:val="auto"/>
          <w:sz w:val="28"/>
          <w:szCs w:val="28"/>
        </w:rPr>
        <w:t>月30日；工程施工期从</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9</w:t>
      </w:r>
      <w:r>
        <w:rPr>
          <w:rFonts w:hint="eastAsia" w:ascii="仿宋_GB2312" w:hAnsi="仿宋_GB2312" w:eastAsia="仿宋_GB2312" w:cs="仿宋_GB2312"/>
          <w:color w:val="auto"/>
          <w:sz w:val="28"/>
          <w:szCs w:val="28"/>
        </w:rPr>
        <w:t>月1日至202</w:t>
      </w:r>
      <w:r>
        <w:rPr>
          <w:rFonts w:hint="eastAsia" w:ascii="仿宋_GB2312" w:hAnsi="仿宋_GB2312" w:cs="仿宋_GB2312"/>
          <w:color w:val="auto"/>
          <w:sz w:val="28"/>
          <w:szCs w:val="28"/>
          <w:lang w:val="en-US" w:eastAsia="zh-CN"/>
        </w:rPr>
        <w:t>2</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12</w:t>
      </w:r>
      <w:r>
        <w:rPr>
          <w:rFonts w:hint="eastAsia" w:ascii="仿宋_GB2312" w:hAnsi="仿宋_GB2312" w:eastAsia="仿宋_GB2312" w:cs="仿宋_GB2312"/>
          <w:color w:val="auto"/>
          <w:sz w:val="28"/>
          <w:szCs w:val="28"/>
        </w:rPr>
        <w:t>月</w:t>
      </w:r>
      <w:r>
        <w:rPr>
          <w:rFonts w:hint="eastAsia" w:ascii="仿宋_GB2312" w:hAnsi="仿宋_GB2312" w:cs="仿宋_GB2312"/>
          <w:color w:val="auto"/>
          <w:sz w:val="28"/>
          <w:szCs w:val="28"/>
          <w:lang w:val="en-US" w:eastAsia="zh-CN"/>
        </w:rPr>
        <w:t>31</w:t>
      </w:r>
      <w:r>
        <w:rPr>
          <w:rFonts w:hint="eastAsia" w:ascii="仿宋_GB2312" w:hAnsi="仿宋_GB2312" w:eastAsia="仿宋_GB2312" w:cs="仿宋_GB2312"/>
          <w:color w:val="auto"/>
          <w:sz w:val="28"/>
          <w:szCs w:val="28"/>
        </w:rPr>
        <w:t>日；竣工验收从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1</w:t>
      </w:r>
      <w:r>
        <w:rPr>
          <w:rFonts w:hint="eastAsia" w:ascii="仿宋_GB2312" w:hAnsi="仿宋_GB2312" w:eastAsia="仿宋_GB2312" w:cs="仿宋_GB2312"/>
          <w:color w:val="auto"/>
          <w:sz w:val="28"/>
          <w:szCs w:val="28"/>
        </w:rPr>
        <w:t>月1日至</w:t>
      </w:r>
      <w:r>
        <w:rPr>
          <w:rFonts w:hint="eastAsia" w:ascii="仿宋_GB2312" w:hAnsi="仿宋_GB2312" w:cs="仿宋_GB2312"/>
          <w:color w:val="auto"/>
          <w:sz w:val="28"/>
          <w:szCs w:val="28"/>
          <w:lang w:val="en-US" w:eastAsia="zh-CN"/>
        </w:rPr>
        <w:t>6</w:t>
      </w:r>
      <w:r>
        <w:rPr>
          <w:rFonts w:hint="eastAsia" w:ascii="仿宋_GB2312" w:hAnsi="仿宋_GB2312" w:eastAsia="仿宋_GB2312" w:cs="仿宋_GB2312"/>
          <w:color w:val="auto"/>
          <w:sz w:val="28"/>
          <w:szCs w:val="28"/>
        </w:rPr>
        <w:t>月30日。</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9" w:name="_Toc14854182"/>
      <w:bookmarkStart w:id="10" w:name="_Toc45723000"/>
      <w:r>
        <w:rPr>
          <w:rFonts w:hint="eastAsia" w:ascii="黑体" w:hAnsi="黑体" w:eastAsia="黑体" w:cs="黑体"/>
          <w:b w:val="0"/>
          <w:bCs w:val="0"/>
          <w:color w:val="auto"/>
          <w:kern w:val="2"/>
          <w:sz w:val="28"/>
          <w:szCs w:val="28"/>
          <w:lang w:val="en-US" w:eastAsia="zh-CN" w:bidi="ar-SA"/>
        </w:rPr>
        <w:t>概算和资金筹措</w:t>
      </w:r>
      <w:bookmarkEnd w:id="9"/>
      <w:bookmarkEnd w:id="10"/>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项目概算投资总额为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万元，全部来源于财政资金，资金分配比例见表1.3-1。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表1.3-1  项目资金分配比例表</w:t>
      </w:r>
    </w:p>
    <w:tbl>
      <w:tblPr>
        <w:tblStyle w:val="14"/>
        <w:tblW w:w="9056" w:type="dxa"/>
        <w:jc w:val="center"/>
        <w:tblLayout w:type="fixed"/>
        <w:tblCellMar>
          <w:top w:w="0" w:type="dxa"/>
          <w:left w:w="108" w:type="dxa"/>
          <w:bottom w:w="0" w:type="dxa"/>
          <w:right w:w="108" w:type="dxa"/>
        </w:tblCellMar>
      </w:tblPr>
      <w:tblGrid>
        <w:gridCol w:w="885"/>
        <w:gridCol w:w="3772"/>
        <w:gridCol w:w="2656"/>
        <w:gridCol w:w="1743"/>
      </w:tblGrid>
      <w:tr>
        <w:tblPrEx>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投资（万元）</w:t>
            </w:r>
          </w:p>
        </w:tc>
      </w:tr>
      <w:tr>
        <w:tblPrEx>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占比（%）</w:t>
            </w: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Ⅰ</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总投资</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土地平整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灌溉排水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高效节水灌溉</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田间道路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农田输配电</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科技推广措施</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3772"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其他工作及措施</w:t>
            </w:r>
          </w:p>
        </w:tc>
        <w:tc>
          <w:tcPr>
            <w:tcW w:w="2656"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1" w:name="_Toc45723001"/>
      <w:bookmarkStart w:id="12" w:name="_Toc14854183"/>
      <w:r>
        <w:rPr>
          <w:rFonts w:hint="eastAsia" w:ascii="黑体" w:hAnsi="黑体" w:eastAsia="黑体" w:cs="黑体"/>
          <w:b w:val="0"/>
          <w:bCs w:val="0"/>
          <w:color w:val="auto"/>
          <w:kern w:val="2"/>
          <w:sz w:val="28"/>
          <w:szCs w:val="28"/>
          <w:lang w:val="en-US" w:eastAsia="zh-CN" w:bidi="ar-SA"/>
        </w:rPr>
        <w:t>效益分析和综合评价</w:t>
      </w:r>
      <w:bookmarkEnd w:id="11"/>
      <w:bookmarkEnd w:id="1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1.4.2社会效益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生态效益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经济评价</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本项目总投资为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万元，调整后投资(影子投资)为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万元，经过经济现金流量计算，项目实施后，经济净现值</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万元，经济效益费用比(EBCR)为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，经济内部收益率为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%，投资回收期Ts为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年(含建设期)，各项经济指标均符合规范要求，作为社会公益性质的农业建设项目，经济评价可行。</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3" w:name="_Toc45723002"/>
      <w:bookmarkStart w:id="14" w:name="_Toc14854184"/>
      <w:r>
        <w:rPr>
          <w:rFonts w:hint="eastAsia" w:ascii="仿宋_GB2312" w:hAnsi="仿宋_GB2312" w:eastAsia="仿宋_GB2312" w:cs="仿宋_GB2312"/>
          <w:b/>
          <w:bCs/>
          <w:color w:val="auto"/>
          <w:kern w:val="2"/>
          <w:sz w:val="28"/>
          <w:szCs w:val="28"/>
          <w:lang w:val="en-US" w:eastAsia="zh-CN" w:bidi="ar-SA"/>
        </w:rPr>
        <w:t>组织实施与管理</w:t>
      </w:r>
      <w:bookmarkEnd w:id="13"/>
      <w:bookmarkEnd w:id="1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组织实施机构和管理</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实施后管护制度</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项目实施后，办理工程移交，以受益村为单位，在XX县农业农村局的指导下，各村对所属的工程进行管护，确保工程正常运行持续发挥效益。</w:t>
      </w:r>
      <w:bookmarkStart w:id="15" w:name="_Toc4104"/>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ascii="仿宋" w:hAnsi="仿宋" w:eastAsia="宋体" w:cs="Times New Roman"/>
          <w:color w:val="auto"/>
          <w:sz w:val="28"/>
          <w:szCs w:val="28"/>
        </w:rPr>
      </w:pPr>
      <w:r>
        <w:rPr>
          <w:rFonts w:ascii="仿宋" w:hAnsi="仿宋" w:eastAsia="宋体" w:cs="Times New Roman"/>
          <w:color w:val="auto"/>
          <w:sz w:val="28"/>
          <w:szCs w:val="28"/>
        </w:rPr>
        <w:br w:type="page"/>
      </w: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textAlignment w:val="auto"/>
        <w:rPr>
          <w:rFonts w:hint="eastAsia" w:ascii="方正小标宋简体" w:hAnsi="方正小标宋简体" w:eastAsia="方正小标宋简体" w:cs="方正小标宋简体"/>
          <w:b w:val="0"/>
          <w:bCs w:val="0"/>
          <w:color w:val="auto"/>
          <w:sz w:val="36"/>
          <w:szCs w:val="36"/>
        </w:rPr>
      </w:pPr>
      <w:bookmarkStart w:id="16" w:name="_Toc45723003"/>
      <w:r>
        <w:rPr>
          <w:rFonts w:hint="eastAsia" w:ascii="方正小标宋简体" w:hAnsi="方正小标宋简体" w:eastAsia="方正小标宋简体" w:cs="方正小标宋简体"/>
          <w:b w:val="0"/>
          <w:bCs w:val="0"/>
          <w:color w:val="auto"/>
          <w:sz w:val="36"/>
          <w:szCs w:val="36"/>
        </w:rPr>
        <w:t>项目选址</w:t>
      </w:r>
      <w:bookmarkEnd w:id="16"/>
    </w:p>
    <w:bookmarkEnd w:id="15"/>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黑体" w:cs="Times New Roman"/>
          <w:b/>
          <w:bCs/>
          <w:color w:val="auto"/>
          <w:kern w:val="44"/>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7" w:name="_Toc45723004"/>
      <w:bookmarkStart w:id="18" w:name="_Toc5828"/>
      <w:r>
        <w:rPr>
          <w:rFonts w:hint="eastAsia" w:ascii="黑体" w:hAnsi="黑体" w:eastAsia="黑体" w:cs="黑体"/>
          <w:b w:val="0"/>
          <w:bCs w:val="0"/>
          <w:color w:val="auto"/>
          <w:kern w:val="2"/>
          <w:sz w:val="28"/>
          <w:szCs w:val="28"/>
          <w:lang w:val="en-US" w:eastAsia="zh-CN" w:bidi="ar-SA"/>
        </w:rPr>
        <w:t>选址要求</w:t>
      </w:r>
      <w:bookmarkEnd w:id="17"/>
      <w:bookmarkEnd w:id="18"/>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根据高标准农田建设通则（GB/T 30600-20</w:t>
      </w:r>
      <w:r>
        <w:rPr>
          <w:rFonts w:hint="eastAsia" w:ascii="仿宋_GB2312" w:hAnsi="仿宋_GB2312" w:cs="仿宋_GB2312"/>
          <w:color w:val="auto"/>
          <w:sz w:val="28"/>
          <w:szCs w:val="28"/>
          <w:lang w:val="en-US" w:eastAsia="zh-CN"/>
        </w:rPr>
        <w:t>22</w:t>
      </w:r>
      <w:r>
        <w:rPr>
          <w:rFonts w:hint="eastAsia" w:ascii="仿宋_GB2312" w:hAnsi="仿宋_GB2312" w:eastAsia="仿宋_GB2312" w:cs="仿宋_GB2312"/>
          <w:color w:val="auto"/>
          <w:sz w:val="28"/>
          <w:szCs w:val="28"/>
        </w:rPr>
        <w:t>）标准第5条建设区域的要求，高标准农田建设选址应遵循以下要求：</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1.高标准农田建设区域应相对集中、土壤适合农作物生长、无潜在土壤污染和地质灾害，建设区域外有相关完善的、能直接为建设提供保障的基础设施。</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2.高标准高农田建设的重点区域包括：土地利用总体规划确定的</w:t>
      </w:r>
      <w:r>
        <w:rPr>
          <w:rFonts w:hint="eastAsia" w:ascii="仿宋_GB2312" w:hAnsi="仿宋_GB2312" w:cs="仿宋_GB2312"/>
          <w:color w:val="auto"/>
          <w:sz w:val="28"/>
          <w:szCs w:val="28"/>
          <w:lang w:eastAsia="zh-CN"/>
        </w:rPr>
        <w:t>永久基本农田</w:t>
      </w:r>
      <w:r>
        <w:rPr>
          <w:rFonts w:hint="eastAsia" w:ascii="仿宋_GB2312" w:hAnsi="仿宋_GB2312" w:eastAsia="仿宋_GB2312" w:cs="仿宋_GB2312"/>
          <w:color w:val="auto"/>
          <w:sz w:val="28"/>
          <w:szCs w:val="28"/>
        </w:rPr>
        <w:t>，《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4.高标准农田建设禁止区域包括：地面坡度大于25°的区域，土壤污染严重的区域，自然保护区的核心区和缓冲区，退耕还林区、退耕还草区，河流、湖泊、水库水面保护范围等区域。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9" w:name="_Toc30824"/>
      <w:bookmarkStart w:id="20" w:name="_Toc45723005"/>
      <w:r>
        <w:rPr>
          <w:rFonts w:hint="eastAsia" w:ascii="黑体" w:hAnsi="黑体" w:eastAsia="黑体" w:cs="黑体"/>
          <w:b w:val="0"/>
          <w:bCs w:val="0"/>
          <w:color w:val="auto"/>
          <w:kern w:val="2"/>
          <w:sz w:val="28"/>
          <w:szCs w:val="28"/>
          <w:lang w:val="en-US" w:eastAsia="zh-CN" w:bidi="ar-SA"/>
        </w:rPr>
        <w:t>选址现状</w:t>
      </w:r>
      <w:bookmarkEnd w:id="19"/>
      <w:bookmarkEnd w:id="20"/>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1" w:name="_Toc45723006"/>
      <w:r>
        <w:rPr>
          <w:rFonts w:hint="eastAsia" w:ascii="黑体" w:hAnsi="黑体" w:eastAsia="黑体" w:cs="黑体"/>
          <w:b w:val="0"/>
          <w:bCs w:val="0"/>
          <w:color w:val="auto"/>
          <w:kern w:val="2"/>
          <w:sz w:val="28"/>
          <w:szCs w:val="28"/>
          <w:lang w:val="en-US" w:eastAsia="zh-CN" w:bidi="ar-SA"/>
        </w:rPr>
        <w:t>地点与位置</w:t>
      </w:r>
      <w:bookmarkEnd w:id="21"/>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2" w:name="_Toc45723007"/>
      <w:r>
        <w:rPr>
          <w:rFonts w:hint="eastAsia" w:ascii="黑体" w:hAnsi="黑体" w:eastAsia="黑体" w:cs="黑体"/>
          <w:b w:val="0"/>
          <w:bCs w:val="0"/>
          <w:color w:val="auto"/>
          <w:kern w:val="2"/>
          <w:sz w:val="28"/>
          <w:szCs w:val="28"/>
          <w:lang w:val="en-US" w:eastAsia="zh-CN" w:bidi="ar-SA"/>
        </w:rPr>
        <w:t>土地性质及规划</w:t>
      </w:r>
      <w:bookmarkEnd w:id="22"/>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3" w:name="_Toc45723008"/>
      <w:r>
        <w:rPr>
          <w:rFonts w:hint="eastAsia" w:ascii="黑体" w:hAnsi="黑体" w:eastAsia="黑体" w:cs="黑体"/>
          <w:b w:val="0"/>
          <w:bCs w:val="0"/>
          <w:color w:val="auto"/>
          <w:kern w:val="2"/>
          <w:sz w:val="28"/>
          <w:szCs w:val="28"/>
          <w:lang w:val="en-US" w:eastAsia="zh-CN" w:bidi="ar-SA"/>
        </w:rPr>
        <w:t>土地利用</w:t>
      </w:r>
      <w:bookmarkEnd w:id="23"/>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（1）说明选址地块现使用状况，包括地表(下)建(构)筑物、农业田间工程及设施、农作物种植及其他开发利用等情况。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（2）改扩建项目选址应详细说明场地现有建(构)筑物、各项设施等的基本情况。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N/>
        <w:bidi w:val="0"/>
        <w:adjustRightInd w:val="0"/>
        <w:snapToGrid w:val="0"/>
        <w:spacing w:line="420" w:lineRule="exact"/>
        <w:ind w:firstLine="560"/>
        <w:textAlignment w:val="auto"/>
        <w:rPr>
          <w:rFonts w:ascii="仿宋" w:hAnsi="仿宋"/>
          <w:color w:val="auto"/>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24" w:name="_Toc14854185"/>
      <w:bookmarkStart w:id="25" w:name="_Toc45723009"/>
      <w:bookmarkStart w:id="26" w:name="_Toc481506713"/>
      <w:bookmarkStart w:id="27" w:name="_Toc14854186"/>
      <w:r>
        <w:rPr>
          <w:rFonts w:hint="eastAsia" w:ascii="方正小标宋简体" w:hAnsi="方正小标宋简体" w:eastAsia="方正小标宋简体" w:cs="方正小标宋简体"/>
          <w:b w:val="0"/>
          <w:bCs w:val="0"/>
          <w:color w:val="auto"/>
          <w:sz w:val="36"/>
          <w:szCs w:val="36"/>
        </w:rPr>
        <w:t>项目概况</w:t>
      </w:r>
      <w:bookmarkEnd w:id="24"/>
      <w:bookmarkEnd w:id="25"/>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8" w:name="_Toc45723010"/>
      <w:r>
        <w:rPr>
          <w:rFonts w:hint="eastAsia" w:ascii="黑体" w:hAnsi="黑体" w:eastAsia="黑体" w:cs="黑体"/>
          <w:b w:val="0"/>
          <w:bCs w:val="0"/>
          <w:color w:val="auto"/>
          <w:kern w:val="2"/>
          <w:sz w:val="28"/>
          <w:szCs w:val="28"/>
          <w:lang w:val="en-US" w:eastAsia="zh-CN" w:bidi="ar-SA"/>
        </w:rPr>
        <w:t>项目区概况</w:t>
      </w:r>
      <w:bookmarkEnd w:id="26"/>
      <w:bookmarkEnd w:id="27"/>
      <w:bookmarkEnd w:id="28"/>
      <w:r>
        <w:rPr>
          <w:rFonts w:hint="eastAsia" w:ascii="黑体" w:hAnsi="黑体" w:eastAsia="黑体" w:cs="黑体"/>
          <w:b w:val="0"/>
          <w:bCs w:val="0"/>
          <w:color w:val="auto"/>
          <w:kern w:val="2"/>
          <w:sz w:val="28"/>
          <w:szCs w:val="28"/>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XX镇地处XX县近郊和西南门户，靠嘉山、傍X河，总面积86.12平方千米，辖7个村，4个社区，1.2万余户2.86万人。经济以传统农业为主，辅以特色种养殖业和三产服务业，是全国重点镇、</w:t>
      </w:r>
      <w:r>
        <w:rPr>
          <w:rFonts w:hint="eastAsia" w:ascii="仿宋_GB2312" w:hAnsi="仿宋_GB2312" w:eastAsia="仿宋_GB2312" w:cs="仿宋_GB2312"/>
          <w:color w:val="auto"/>
          <w:sz w:val="28"/>
          <w:szCs w:val="28"/>
          <w:lang w:eastAsia="zh-CN"/>
        </w:rPr>
        <w:t>广东</w:t>
      </w:r>
      <w:r>
        <w:rPr>
          <w:rFonts w:hint="eastAsia" w:ascii="仿宋_GB2312" w:hAnsi="仿宋_GB2312" w:eastAsia="仿宋_GB2312" w:cs="仿宋_GB2312"/>
          <w:color w:val="auto"/>
          <w:sz w:val="28"/>
          <w:szCs w:val="28"/>
        </w:rPr>
        <w:t>省重点镇、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省特色景观旅游名镇、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省安全生产示范镇、XX市美丽城镇建设试点镇。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XX镇地处XX县东南端，北与XX镇毗邻，南接XX镇，西临省第二大淡水湖——XX湖，与XX县、XX区两县接壤，地形以平原和丘陵为主，全镇由X河包绕。下辖15个村（社区），总人口4.3万人，区域总面积118.6km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，耕地面积8.27万亩。其中，水田5.43万亩，旱地2.81万亩，林地1.52万亩。2018年，全镇粮食总产量41万吨，农林牧渔业总产值38398万元，年人均收入14259元。</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XX镇位于XX县西南方，东与XX镇隔岸相望，南XX乡，西与XX县XX乡、XX县XX镇毗邻，北与XX乡接壤，XX</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、中、北三大湖泊延伸其中，属丘陵山区。全镇共有15个自然村，2个居委会。全镇总人口2.8万人，总面积92km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，耕地面积4.22万亩。是XX县最大的乡镇，也是全省有名的“鱼米之乡”、“特产之乡”。</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 xml:space="preserve">地形地貌 </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XX县属</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"https://baike.so.com/doc/5568934-5784113.html" \t "_blank"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山</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余脉向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湖盆地过渡地带，地形以X河为天然分界线，X河西南岸为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山余脉，东北岸为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24米。南部沿南、西、北边缘地带为丘陵岗地，呈"E"字形结构。东部边缘与</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平原相接，大小湖泊串珠密布。市境地貌属流水、第四系松散堆积物、岗地、平原地貌类型。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国土面积、耕地面积、有效灌溉面积、人口数量</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本项目涉及村国土面积合计Xkm</w:t>
      </w:r>
      <w:r>
        <w:rPr>
          <w:rFonts w:hint="eastAsia" w:ascii="仿宋_GB2312" w:hAnsi="仿宋_GB2312" w:eastAsia="仿宋_GB2312" w:cs="仿宋_GB2312"/>
          <w:color w:val="auto"/>
          <w:kern w:val="2"/>
          <w:sz w:val="28"/>
          <w:szCs w:val="28"/>
          <w:vertAlign w:val="superscript"/>
          <w:lang w:val="en-US" w:eastAsia="zh-CN" w:bidi="ar-SA"/>
        </w:rPr>
        <w:t>2</w:t>
      </w:r>
      <w:r>
        <w:rPr>
          <w:rFonts w:hint="eastAsia" w:ascii="仿宋_GB2312" w:hAnsi="仿宋_GB2312" w:eastAsia="仿宋_GB2312" w:cs="仿宋_GB2312"/>
          <w:color w:val="auto"/>
          <w:kern w:val="2"/>
          <w:sz w:val="28"/>
          <w:szCs w:val="28"/>
          <w:lang w:val="en-US" w:eastAsia="zh-CN" w:bidi="ar-SA"/>
        </w:rPr>
        <w:t>，总耕地面积X万亩，其中纳入本项目建设范围的耕地面积X万亩，项目区总人口X万人。详见表2.1-1：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表2.1-1  项目区基本情况一览表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国土面积（km</w:t>
            </w:r>
            <w:r>
              <w:rPr>
                <w:rFonts w:hint="eastAsia" w:ascii="仿宋_GB2312" w:hAnsi="仿宋_GB2312" w:eastAsia="仿宋_GB2312" w:cs="仿宋_GB2312"/>
                <w:color w:val="auto"/>
                <w:sz w:val="22"/>
                <w:szCs w:val="22"/>
                <w:vertAlign w:val="superscript"/>
              </w:rPr>
              <w:t>2</w:t>
            </w:r>
            <w:r>
              <w:rPr>
                <w:rFonts w:hint="eastAsia" w:ascii="仿宋_GB2312" w:hAnsi="仿宋_GB2312" w:eastAsia="仿宋_GB2312" w:cs="仿宋_GB2312"/>
                <w:color w:val="auto"/>
                <w:sz w:val="22"/>
                <w:szCs w:val="22"/>
              </w:rPr>
              <w:t>）</w:t>
            </w: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有效灌溉面积（亩）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纳入项目区耕地面积（亩）</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总人口（人）</w:t>
            </w: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9" w:name="_Toc14854187"/>
      <w:bookmarkStart w:id="30" w:name="_Toc45723011"/>
      <w:r>
        <w:rPr>
          <w:rFonts w:hint="eastAsia" w:ascii="黑体" w:hAnsi="黑体" w:eastAsia="黑体" w:cs="黑体"/>
          <w:b w:val="0"/>
          <w:bCs w:val="0"/>
          <w:color w:val="auto"/>
          <w:kern w:val="2"/>
          <w:sz w:val="28"/>
          <w:szCs w:val="28"/>
          <w:lang w:val="en-US" w:eastAsia="zh-CN" w:bidi="ar-SA"/>
        </w:rPr>
        <w:t>社会经济</w:t>
      </w:r>
      <w:bookmarkEnd w:id="29"/>
      <w:bookmarkEnd w:id="3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农业生产水平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地方财政与农民收入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城乡居民人均可支配收入分别达到33055元、15471元，分别增长7.8%、8.5%。</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农业科技服务体系状况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农业科技服务体系较为健全，形成了以农业科学技术推广站为纽带的“四级一户”农业科技服务体系（四级为市、乡、村、组，一户为科技示范户），科学技术入户率高，农民科学种田水平高，特别是近年来，依托健全的农业科技服务体系，大力推广良种良法，收到了良好的成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2019年末全市拥有农业机械32156台，比上年增加297台；总动力20.19万千瓦，比上年增加0.27万千瓦。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1" w:name="_Toc45723012"/>
      <w:bookmarkStart w:id="32" w:name="_Toc14854188"/>
      <w:r>
        <w:rPr>
          <w:rFonts w:hint="eastAsia" w:ascii="黑体" w:hAnsi="黑体" w:eastAsia="黑体" w:cs="黑体"/>
          <w:b w:val="0"/>
          <w:bCs w:val="0"/>
          <w:color w:val="auto"/>
          <w:kern w:val="2"/>
          <w:sz w:val="28"/>
          <w:szCs w:val="28"/>
          <w:lang w:val="en-US" w:eastAsia="zh-CN" w:bidi="ar-SA"/>
        </w:rPr>
        <w:t>水文气象</w:t>
      </w:r>
      <w:bookmarkEnd w:id="31"/>
      <w:bookmarkEnd w:id="3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气象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260天，其积温为5100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5600℃；高于15℃的持续日数160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200天，其积温为3800-3820℃。无霜期265</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310天，全年日照1300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1800小时，年总辐射量100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XX县气象灾害繁多，影响农业生产的主要灾害天气有：春季低温阴雨，夏季暴雨洪涝，多有高温，而冬季低温冷寒，并有冰冻。尤以旱涝为甚。</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水资源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XX县地处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4大水系之一的X河下游，东濒</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湖、南临</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，北近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，西北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水回绕，X河干流横贯全境，河岸长达76公里。境内有大小湖泊21个，河流11条，水库29座，水塘8038口，总共水面1.2万公顷。南部0.4万公顷面积的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湖为</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省的第</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大淡水湖。X河干线由西往东入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湖，北出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河沟通</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，形成为四通八达的水道网。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工程地质及水文地质</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境内过境水系有X河，X河自西向东横贯市区，至小渡口南折，沿市境东部边缘注入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（1）人工填土（QS）：褐黄色、黄色粉质粘土为主，松散-稍密，可塑-硬塑状，成份复杂，切面无光泽，韧性和干强度中等，局部含植物根茎、细砂、有机质等。揭露的最大厚度6.80m。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（2）第四系全新统淤泥质粉质粘土（Q4al+l）：灰色，灰褐色淤泥质粉质粘土，稍湿-湿，结构松散，软塑状，切面无光泽，韧性和干强度低，是工程场地内最主要的下卧土层，厚度较大，厚度8.0～12.0m。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（3）第四系全新统粉质粘土（Q4al）：灰褐色粉质粘土，稍湿，可塑状为主，切面稍有光泽，韧性和干强度中等，厚度3.8～5.6m。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（4）第四系全新统粉砂层（Q4al）：灰褐色粉砂，颗粒较粗，含水饱和，结构松散-稍密状，分选性一般，厚度3.10～6.80m。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3" w:name="_Toc14854190"/>
      <w:bookmarkStart w:id="34" w:name="_Toc45723013"/>
      <w:r>
        <w:rPr>
          <w:rFonts w:hint="eastAsia" w:ascii="黑体" w:hAnsi="黑体" w:eastAsia="黑体" w:cs="黑体"/>
          <w:b w:val="0"/>
          <w:bCs w:val="0"/>
          <w:color w:val="auto"/>
          <w:kern w:val="2"/>
          <w:sz w:val="28"/>
          <w:szCs w:val="28"/>
          <w:lang w:val="en-US" w:eastAsia="zh-CN" w:bidi="ar-SA"/>
        </w:rPr>
        <w:t>土壤</w:t>
      </w:r>
      <w:bookmarkEnd w:id="33"/>
      <w:r>
        <w:rPr>
          <w:rFonts w:hint="eastAsia" w:ascii="黑体" w:hAnsi="黑体" w:eastAsia="黑体" w:cs="黑体"/>
          <w:b w:val="0"/>
          <w:bCs w:val="0"/>
          <w:color w:val="auto"/>
          <w:kern w:val="2"/>
          <w:sz w:val="28"/>
          <w:szCs w:val="28"/>
          <w:lang w:val="en-US" w:eastAsia="zh-CN" w:bidi="ar-SA"/>
        </w:rPr>
        <w:t>与植被</w:t>
      </w:r>
      <w:bookmarkEnd w:id="3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土壤</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项目区土壤成土母质为第四纪红色粘土和</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项目区耕地地力等级分布情况表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村名</w:t>
            </w:r>
          </w:p>
        </w:tc>
        <w:tc>
          <w:tcPr>
            <w:tcW w:w="709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耕地等级</w:t>
            </w:r>
          </w:p>
        </w:tc>
        <w:tc>
          <w:tcPr>
            <w:tcW w:w="97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三级地</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六级地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七级地</w:t>
            </w:r>
          </w:p>
        </w:tc>
        <w:tc>
          <w:tcPr>
            <w:tcW w:w="97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606.2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2428.0</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900.8</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474.4</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844.3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1018.2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238.5</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1250.9</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1369.3</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234.4</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787.2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937.3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1359.9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486.6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935.1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2352.6</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775.1</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630.9</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1892.6</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1483.1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952.4</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1713.9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3954.0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7049.1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5160.6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2789.3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6564.3</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5692.7</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32420.7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植被</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XX县积极践行“绿水青山就是金山银山”绿色发展理念，坚持大力实施国土绿化，发展绿色产业，取得积极成效。截至2019年末，全市森林覆盖率24.47%。</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项目区地带性植被为亚热带常绿阔叶林，现状植被分布于山丘、干渠、道路两侧，居民区周围人工种植有水杉、杨树等。项目区耕地主要农作物为双季水稻、油料及蔬菜等。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5" w:name="_Toc438417033"/>
      <w:bookmarkStart w:id="36" w:name="_Toc45723014"/>
      <w:bookmarkStart w:id="37" w:name="_Toc14854191"/>
      <w:r>
        <w:rPr>
          <w:rFonts w:hint="eastAsia" w:ascii="黑体" w:hAnsi="黑体" w:eastAsia="黑体" w:cs="黑体"/>
          <w:b w:val="0"/>
          <w:bCs w:val="0"/>
          <w:color w:val="auto"/>
          <w:kern w:val="2"/>
          <w:sz w:val="28"/>
          <w:szCs w:val="28"/>
          <w:lang w:val="en-US" w:eastAsia="zh-CN" w:bidi="ar-SA"/>
        </w:rPr>
        <w:t>项目区基础设施情况</w:t>
      </w:r>
      <w:bookmarkEnd w:id="35"/>
      <w:bookmarkEnd w:id="36"/>
      <w:bookmarkEnd w:id="3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水利工程现状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项目区水资源以地表水为主，农业灌溉水源主要依靠水库、山塘、河坝等工程。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根据XX县水利设施统计资料，项目区内有小（Ⅰ）型水库3座，均已进行除险加固改造；另有部分小（Ⅱ）型水库，为减轻防汛压力已被销号，一般都存在病险，蓄水严重不足，详见表2.5-1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项目区水库工程基本情况</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440"/>
        <w:gridCol w:w="1100"/>
        <w:gridCol w:w="897"/>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水库名称</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位置</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总库容</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（万m</w:t>
            </w:r>
            <w:r>
              <w:rPr>
                <w:rFonts w:hint="eastAsia" w:ascii="仿宋_GB2312" w:hAnsi="仿宋_GB2312" w:eastAsia="仿宋_GB2312" w:cs="仿宋_GB2312"/>
                <w:color w:val="auto"/>
                <w:sz w:val="22"/>
                <w:szCs w:val="22"/>
                <w:vertAlign w:val="superscript"/>
              </w:rPr>
              <w:t>3</w:t>
            </w:r>
            <w:r>
              <w:rPr>
                <w:rFonts w:hint="eastAsia" w:ascii="仿宋_GB2312" w:hAnsi="仿宋_GB2312" w:eastAsia="仿宋_GB2312" w:cs="仿宋_GB2312"/>
                <w:color w:val="auto"/>
                <w:sz w:val="22"/>
                <w:szCs w:val="22"/>
              </w:rPr>
              <w:t>）</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兴利库容（万m</w:t>
            </w:r>
            <w:r>
              <w:rPr>
                <w:rFonts w:hint="eastAsia" w:ascii="仿宋_GB2312" w:hAnsi="仿宋_GB2312" w:eastAsia="仿宋_GB2312" w:cs="仿宋_GB2312"/>
                <w:color w:val="auto"/>
                <w:sz w:val="22"/>
                <w:szCs w:val="22"/>
                <w:vertAlign w:val="superscript"/>
              </w:rPr>
              <w:t>3</w:t>
            </w:r>
            <w:r>
              <w:rPr>
                <w:rFonts w:hint="eastAsia" w:ascii="仿宋_GB2312" w:hAnsi="仿宋_GB2312" w:eastAsia="仿宋_GB2312" w:cs="仿宋_GB2312"/>
                <w:color w:val="auto"/>
                <w:sz w:val="22"/>
                <w:szCs w:val="22"/>
              </w:rPr>
              <w:t>）</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集雨面积（km</w:t>
            </w:r>
            <w:r>
              <w:rPr>
                <w:rFonts w:hint="eastAsia" w:ascii="仿宋_GB2312" w:hAnsi="仿宋_GB2312" w:eastAsia="仿宋_GB2312" w:cs="仿宋_GB2312"/>
                <w:color w:val="auto"/>
                <w:sz w:val="22"/>
                <w:szCs w:val="22"/>
                <w:vertAlign w:val="superscript"/>
              </w:rPr>
              <w:t>2</w:t>
            </w:r>
            <w:r>
              <w:rPr>
                <w:rFonts w:hint="eastAsia" w:ascii="仿宋_GB2312" w:hAnsi="仿宋_GB2312" w:eastAsia="仿宋_GB2312" w:cs="仿宋_GB2312"/>
                <w:color w:val="auto"/>
                <w:sz w:val="22"/>
                <w:szCs w:val="22"/>
              </w:rPr>
              <w:t>）</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401</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金坪村 </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377.4</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7.336</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谢家湾水库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皮公堰水库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王家大堰水库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茶湾水库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周家水库</w:t>
            </w:r>
          </w:p>
        </w:tc>
        <w:tc>
          <w:tcPr>
            <w:tcW w:w="14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（2）灌排沟渠现状</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项目区交通与电力情况现状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项目区对外交通极为便利，XX村西侧有南北向二广高速出口，新建东西向安慈高速穿毛家岗、清泉、黄林堰过，项目区内县道X015、X028与乡村道路网连通，各村级公路大部分已硬化，交通便利。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项目区内已进行农电整改，农村低压电网遍布各项目村，能够满足项目区农民生产生活用电。</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农业机械及农机服务设施现状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8" w:name="_Toc14854192"/>
      <w:bookmarkStart w:id="39" w:name="_Toc45723015"/>
      <w:r>
        <w:rPr>
          <w:rFonts w:hint="eastAsia" w:ascii="黑体" w:hAnsi="黑体" w:eastAsia="黑体" w:cs="黑体"/>
          <w:b w:val="0"/>
          <w:bCs w:val="0"/>
          <w:color w:val="auto"/>
          <w:kern w:val="2"/>
          <w:sz w:val="28"/>
          <w:szCs w:val="28"/>
          <w:lang w:val="en-US" w:eastAsia="zh-CN" w:bidi="ar-SA"/>
        </w:rPr>
        <w:t>其他基础设施</w:t>
      </w:r>
      <w:bookmarkEnd w:id="38"/>
      <w:bookmarkEnd w:id="39"/>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项目区已实现村主要道路全硬化，能满足村民生产生活和要求；田间机耕路则多为土路，路面宽度2.5m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3.0m；由于村民关注的重点是水利基础设施，田间道路数量不多，已不能满足农业生产机械化的使用需求。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center"/>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农电设施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项目区农村电网工程有专项资金实施，已经完成了农电改造，能够满足项目区用电需求。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sectPr>
          <w:headerReference r:id="rId11"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ind w:firstLine="723"/>
        <w:textAlignment w:val="auto"/>
        <w:rPr>
          <w:rFonts w:hint="eastAsia" w:ascii="方正小标宋简体" w:hAnsi="方正小标宋简体" w:eastAsia="方正小标宋简体" w:cs="方正小标宋简体"/>
          <w:b w:val="0"/>
          <w:bCs w:val="0"/>
          <w:color w:val="auto"/>
          <w:sz w:val="36"/>
          <w:szCs w:val="36"/>
        </w:rPr>
      </w:pPr>
      <w:bookmarkStart w:id="40" w:name="_Toc14854193"/>
      <w:bookmarkStart w:id="41" w:name="_Toc45723016"/>
      <w:r>
        <w:rPr>
          <w:rFonts w:hint="eastAsia" w:ascii="方正小标宋简体" w:hAnsi="方正小标宋简体" w:eastAsia="方正小标宋简体" w:cs="方正小标宋简体"/>
          <w:b w:val="0"/>
          <w:bCs w:val="0"/>
          <w:color w:val="auto"/>
          <w:sz w:val="36"/>
          <w:szCs w:val="36"/>
        </w:rPr>
        <w:t>项目区水量供需平衡及水质分析</w:t>
      </w:r>
      <w:bookmarkEnd w:id="40"/>
      <w:bookmarkEnd w:id="41"/>
    </w:p>
    <w:p>
      <w:pPr>
        <w:adjustRightInd/>
        <w:snapToGrid/>
        <w:spacing w:line="240" w:lineRule="auto"/>
        <w:ind w:firstLine="0" w:firstLineChars="0"/>
        <w:rPr>
          <w:rFonts w:hint="eastAsia"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2" w:name="_Toc45723017"/>
      <w:r>
        <w:rPr>
          <w:rFonts w:hint="eastAsia" w:ascii="黑体" w:hAnsi="黑体" w:eastAsia="黑体" w:cs="黑体"/>
          <w:b w:val="0"/>
          <w:bCs w:val="0"/>
          <w:color w:val="auto"/>
          <w:kern w:val="2"/>
          <w:sz w:val="28"/>
          <w:szCs w:val="28"/>
          <w:lang w:val="en-US" w:eastAsia="zh-CN" w:bidi="ar-SA"/>
        </w:rPr>
        <w:t>项目区水量平衡分析</w:t>
      </w:r>
      <w:bookmarkEnd w:id="4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项目区现状水源情况及可供水量分析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（1）项目区现状水源情况</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根据调查，项目区内水资源以地表水为主，农业灌溉主要依靠水库、山塘、泵站等工程蓄、提水灌溉。</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，正常库容167.0万m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，死库容8.15万m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，坝顶长度217.0m，坝顶高程69.50m，最大坝高17.2m。输水涵管底板进口高程56.00米。区内基础水源有山平塘、河坝，现状水源工程见表3.1-1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，兴利库容280.0万m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，死库容25.0万m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，坝顶长度210m,坝顶高程54.50m，最大坝高14.0m。输水涵管底板进口高程43.00米。区内基础水源有山平塘、河坝，现状水源工程见表3.1-1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，兴利库容377.4万m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，死库容79.0万m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，坝顶长度405m,坝顶高程64.00m，最大坝高14.0m。输水涵管底板进口高程54.86米，水库有效灌溉面积1.0万亩。区内基础水源有山平塘、河坝，现状水源工程见表3.1-1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表3.1-</w:t>
      </w:r>
      <w:r>
        <w:rPr>
          <w:rFonts w:hint="eastAsia" w:ascii="黑体" w:hAnsi="黑体" w:eastAsia="黑体" w:cs="黑体"/>
          <w:b w:val="0"/>
          <w:bCs/>
          <w:color w:val="auto"/>
          <w:kern w:val="32"/>
          <w:sz w:val="28"/>
          <w:szCs w:val="28"/>
          <w:lang w:val="en-US" w:eastAsia="zh-CN" w:bidi="ar-SA"/>
        </w:rPr>
        <w:t>1</w:t>
      </w:r>
      <w:r>
        <w:rPr>
          <w:rFonts w:hint="eastAsia" w:ascii="黑体" w:hAnsi="黑体" w:eastAsia="黑体" w:cs="黑体"/>
          <w:b w:val="0"/>
          <w:bCs/>
          <w:color w:val="auto"/>
          <w:kern w:val="32"/>
          <w:sz w:val="28"/>
          <w:szCs w:val="28"/>
          <w:lang w:val="en-US" w:eastAsia="en-US" w:bidi="ar-SA"/>
        </w:rPr>
        <w:t xml:space="preserve">  水源工程主要特性表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项目片区</w:t>
            </w:r>
          </w:p>
        </w:tc>
        <w:tc>
          <w:tcPr>
            <w:tcW w:w="298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水库</w:t>
            </w:r>
          </w:p>
        </w:tc>
        <w:tc>
          <w:tcPr>
            <w:tcW w:w="2155"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山塘</w:t>
            </w:r>
          </w:p>
        </w:tc>
        <w:tc>
          <w:tcPr>
            <w:tcW w:w="182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数量（座）</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兴利库容(万m3)</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集雨面积（km2）</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数量（口）</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有效塘容(万m3)</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数量（座）</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212</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445</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280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2.15</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377.4</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7.336</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（2）设计代表年选取</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1）基础资料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项目区内无雨量站，有关水文参数套用XX县气象局数据，对XX县近50年(1969—2018)的作物生长期（4</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10月）降雨资料排频，选定设计保证率代表年，见表3.1-2。</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表3.1-2  XX县降雨资料排频情况表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降雨量（mm）</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保证率(%)</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降雨量（mm）</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1054.4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76.5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1271.6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1505.5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994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1060.4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1394.9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1114.6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1286.1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1105.4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1399.5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910.6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1952.3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1017.6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981.8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1296.1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1812.6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1150.3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1247.9</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875.8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1081.2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1482.1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1186.2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1503.2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1015.3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82.4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1040.5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865.9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1261.6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1259.1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1164.44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1490.6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1233.8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1391.7</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1438.2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1336.7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1545.2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w:t>
            </w:r>
          </w:p>
        </w:tc>
      </w:tr>
    </w:tbl>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仿宋_GB2312" w:hAnsi="仿宋_GB2312" w:eastAsia="仿宋_GB2312" w:cs="仿宋_GB2312"/>
          <w:b/>
          <w:color w:val="auto"/>
          <w:kern w:val="32"/>
          <w:sz w:val="28"/>
          <w:szCs w:val="28"/>
          <w:lang w:val="en-US" w:eastAsia="en-US"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2）设计代表年的选取</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（3）可供水量分析</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径流系数是采用《水利工程实用水文水利计算》Ｐ152中“</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省小河径流系数表”中径流成果，降雨资料XX县气象站1973年11月～1974年1月实测降雨资料。项目区产水量用下式计算：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W=0.1*α*Ｙ月*Ｆ（万m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式中：α-径流系数</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Ｙ月-月降雨量（mm）</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Ｆ-集雨面积（km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项目区不同月降雨量对应径流系数见表3.1-3，项目区设计代表年月降雨水量分配见表3.1-4。</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表3.1-3  项目区不同月降雨量对应径流系数表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月降雨量（mm）</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30.1～50</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50.1～100</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100.1～200</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200.1～300</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300.1～400</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0.68</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0.72</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表3.1-4  项目区设计代表年月降雨量分配</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年份</w:t>
            </w:r>
          </w:p>
        </w:tc>
        <w:tc>
          <w:tcPr>
            <w:tcW w:w="114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1973年</w:t>
            </w:r>
          </w:p>
        </w:tc>
        <w:tc>
          <w:tcPr>
            <w:tcW w:w="5961" w:type="dxa"/>
            <w:gridSpan w:val="10"/>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1974年</w:t>
            </w:r>
          </w:p>
        </w:tc>
        <w:tc>
          <w:tcPr>
            <w:tcW w:w="96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96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96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3" w:name="_Toc4957958"/>
      <w:bookmarkStart w:id="44" w:name="_Toc511577194"/>
      <w:r>
        <w:rPr>
          <w:rFonts w:hint="eastAsia" w:ascii="仿宋_GB2312" w:hAnsi="仿宋_GB2312" w:eastAsia="仿宋_GB2312" w:cs="仿宋_GB2312"/>
          <w:color w:val="auto"/>
          <w:sz w:val="28"/>
          <w:szCs w:val="28"/>
        </w:rPr>
        <w:t>1）水库可供水量</w:t>
      </w:r>
      <w:bookmarkEnd w:id="43"/>
      <w:bookmarkEnd w:id="44"/>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项目区小水库来水量按当月径流深来推求来水过程。以径流深乘以水库的集雨面积，可得年径流量：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6"/>
          <w:sz w:val="28"/>
          <w:szCs w:val="28"/>
        </w:rPr>
        <w:object>
          <v:shape id="_x0000_i1025" o:spt="75" type="#_x0000_t75" style="height:18pt;width:76.5pt;" o:ole="t" filled="f" o:preferrelative="t" stroked="f" coordsize="21600,21600">
            <v:path/>
            <v:fill on="f" focussize="0,0"/>
            <v:stroke on="f" joinstyle="miter"/>
            <v:imagedata r:id="rId50" o:title=""/>
            <o:lock v:ext="edit" aspectratio="t"/>
            <w10:wrap type="none"/>
            <w10:anchorlock/>
          </v:shape>
          <o:OLEObject Type="Embed" ProgID="Equation.DSMT4" ShapeID="_x0000_i1025" DrawAspect="Content" ObjectID="_1468075725" r:id="rId49">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式中：W——径流量，万m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R——径流深，m；</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设计代表年项目各片区区水库产水量见下表3.1-5：</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表3.1-5  项目区设计代表年水库逐月产水量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月份</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月降雨量（mm）</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38.5</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294.2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171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84.9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15.1</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径流系数</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0.62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29.73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11.06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15.61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1.47</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39.22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20.59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5.06</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133.81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49.79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70.25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19.93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0.78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合计</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13.05</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4.55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226.64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65.22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72.58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0.83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6.92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581.53</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5" w:name="_Toc511577195"/>
      <w:bookmarkStart w:id="46" w:name="_Toc4957959"/>
      <w:r>
        <w:rPr>
          <w:rFonts w:hint="eastAsia" w:ascii="仿宋_GB2312" w:hAnsi="仿宋_GB2312" w:eastAsia="仿宋_GB2312" w:cs="仿宋_GB2312"/>
          <w:color w:val="auto"/>
          <w:sz w:val="28"/>
          <w:szCs w:val="28"/>
        </w:rPr>
        <w:t>2）山平塘可供水量</w:t>
      </w:r>
      <w:bookmarkEnd w:id="45"/>
      <w:bookmarkEnd w:id="46"/>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采用复蓄系数法计算山平塘年产水量，山塘供水量计算公式：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position w:val="-6"/>
          <w:sz w:val="28"/>
          <w:szCs w:val="28"/>
        </w:rPr>
      </w:pPr>
      <w:r>
        <w:rPr>
          <w:rFonts w:hint="eastAsia" w:ascii="仿宋_GB2312" w:hAnsi="仿宋_GB2312" w:eastAsia="仿宋_GB2312" w:cs="仿宋_GB2312"/>
          <w:color w:val="auto"/>
          <w:position w:val="-6"/>
          <w:sz w:val="28"/>
          <w:szCs w:val="28"/>
        </w:rPr>
        <w:object>
          <v:shape id="_x0000_i1026" o:spt="75" type="#_x0000_t75" style="height:18.75pt;width:77.25pt;" o:ole="t" filled="f" o:preferrelative="t" stroked="f" coordsize="21600,21600">
            <v:path/>
            <v:fill on="f" focussize="0,0"/>
            <v:stroke on="f" joinstyle="miter"/>
            <v:imagedata r:id="rId52" o:title=""/>
            <o:lock v:ext="edit" aspectratio="t"/>
            <w10:wrap type="none"/>
            <w10:anchorlock/>
          </v:shape>
          <o:OLEObject Type="Embed" ProgID="Equation.DSMT4" ShapeID="_x0000_i1026" DrawAspect="Content" ObjectID="_1468075726" r:id="rId51">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式中：W——山塘供水量，万m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N—复蓄系数，取0.8；</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V—山塘有效容积。</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通过加固、防渗、扩容等工程措施的山塘有效蓄水量可提高30%左右，本次项目山平塘改造数量较多，按总塘容的5%计算增量塘容。经项目实施前后山塘可供水量见表3.1-6：</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表3.1-6  项实施前后山塘可供水量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71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项目片区</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数量（口）</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有效塘容（万m3）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467</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7" w:name="_Toc4957960"/>
      <w:bookmarkStart w:id="48" w:name="_Toc511577196"/>
      <w:r>
        <w:rPr>
          <w:rFonts w:hint="eastAsia" w:ascii="仿宋_GB2312" w:hAnsi="仿宋_GB2312" w:eastAsia="仿宋_GB2312" w:cs="仿宋_GB2312"/>
          <w:color w:val="auto"/>
          <w:sz w:val="28"/>
          <w:szCs w:val="28"/>
        </w:rPr>
        <w:t>3）河坝可供水量</w:t>
      </w:r>
      <w:bookmarkEnd w:id="47"/>
      <w:bookmarkEnd w:id="48"/>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项目区小溪沟数量众多，河坝大部分以堰塘的形式存在，堰塘既提高了水位，保证下游自流灌溉，又能拦蓄坡面径流，发挥山平塘的作用。河坝产水量按下式计算：</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10"/>
          <w:sz w:val="28"/>
          <w:szCs w:val="28"/>
        </w:rPr>
        <w:object>
          <v:shape id="_x0000_i1027" o:spt="75" type="#_x0000_t75" style="height:19.5pt;width:79.5pt;" o:ole="t" filled="f" o:preferrelative="t" stroked="f" coordsize="21600,21600">
            <v:path/>
            <v:fill on="f" focussize="0,0"/>
            <v:stroke on="f" joinstyle="miter"/>
            <v:imagedata r:id="rId54" o:title=""/>
            <o:lock v:ext="edit" aspectratio="t"/>
            <w10:wrap type="none"/>
            <w10:anchorlock/>
          </v:shape>
          <o:OLEObject Type="Embed" ProgID="Equation.DSMT4" ShapeID="_x0000_i1027" DrawAspect="Content" ObjectID="_1468075727" r:id="rId53">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式中符号同前；</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η——河坝水利用率，取0.65。</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项目区河坝可供水量计算成果见表3.1-7</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 3.1-7  项目区河坝可供水量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月降雨量（mm）</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径流系数（d）</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72.58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项目区用水情况分析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（1）灌溉制度及灌溉定额</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项目区粮食作物以种植水稻为主，水田耕作制度主要为早稻—晚稻—油菜，旱地为旱作物等。现状水平年复种指数取1.5，设计水平年调整了作物种植结构，复种指数取1.7。</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项目规划区水稻灌溉制度采用“浅—蓄—湿—晒”，根据</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省质量技术监督局2014年8月12日发布的《</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省用水定额地方标准》（DB43/T388-2014），XX县属于Ⅲ类分区，考虑项目区地下水补给及湖区地势低洼、农田保水性较好的特点，综合确定XX县主要作物灌溉保证率为90%时的灌溉定额见表3.2-8</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表3.1-8  主要作物灌溉定额（P=90%）         单位：m</w:t>
      </w:r>
      <w:r>
        <w:rPr>
          <w:rFonts w:hint="eastAsia" w:ascii="黑体" w:hAnsi="黑体" w:eastAsia="黑体" w:cs="黑体"/>
          <w:b w:val="0"/>
          <w:bCs/>
          <w:color w:val="auto"/>
          <w:kern w:val="32"/>
          <w:sz w:val="28"/>
          <w:szCs w:val="28"/>
          <w:vertAlign w:val="superscript"/>
          <w:lang w:val="en-US" w:eastAsia="zh-CN" w:bidi="ar-SA"/>
        </w:rPr>
        <w:t>3</w:t>
      </w:r>
      <w:r>
        <w:rPr>
          <w:rFonts w:hint="eastAsia" w:ascii="黑体" w:hAnsi="黑体" w:eastAsia="黑体" w:cs="黑体"/>
          <w:b w:val="0"/>
          <w:bCs/>
          <w:color w:val="auto"/>
          <w:kern w:val="32"/>
          <w:sz w:val="28"/>
          <w:szCs w:val="28"/>
          <w:lang w:val="en-US" w:eastAsia="zh-CN" w:bidi="ar-SA"/>
        </w:rPr>
        <w:t>/亩</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作物</w:t>
            </w:r>
          </w:p>
        </w:tc>
        <w:tc>
          <w:tcPr>
            <w:tcW w:w="7713" w:type="dxa"/>
            <w:gridSpan w:val="1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63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63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70.87</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135.86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127.93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65.34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111.5</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（2）各种作物播种面积的确定</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项目区分为3个片区，现状水平年选取2019年，设计水平年选取2025年，各水平年分片区作物播种面积详见表3.1-9，表3.1-10。</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表3.1-9  现状水平年作物播种面积统计表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25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r>
    </w:tbl>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表3.1-10  设计水平年作物播种面积统计表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22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1）农业灌溉需水量计算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adjustRightInd/>
        <w:snapToGrid/>
        <w:spacing w:line="240" w:lineRule="auto"/>
        <w:ind w:firstLine="560" w:firstLineChars="0"/>
        <w:jc w:val="center"/>
        <w:rPr>
          <w:rFonts w:ascii="Times New Roman" w:hAnsi="Times New Roman" w:eastAsia="仿宋_GB2312" w:cs="Times New Roman"/>
          <w:color w:val="auto"/>
          <w:sz w:val="21"/>
          <w:szCs w:val="22"/>
        </w:rPr>
      </w:pPr>
      <w:r>
        <w:rPr>
          <w:rFonts w:ascii="Times New Roman" w:hAnsi="Times New Roman" w:eastAsia="仿宋_GB2312" w:cs="Times New Roman"/>
          <w:i/>
          <w:iCs/>
          <w:color w:val="auto"/>
          <w:position w:val="-28"/>
          <w:sz w:val="21"/>
          <w:szCs w:val="22"/>
        </w:rPr>
        <w:object>
          <v:shape id="_x0000_i1028" o:spt="75" type="#_x0000_t75" style="height:45.75pt;width:96.75pt;" o:ole="t" filled="f" o:preferrelative="t" stroked="f" coordsize="21600,21600">
            <v:path/>
            <v:fill on="f" focussize="0,0"/>
            <v:stroke on="f" joinstyle="miter"/>
            <v:imagedata r:id="rId56" o:title=""/>
            <o:lock v:ext="edit" aspectratio="t"/>
            <w10:wrap type="none"/>
            <w10:anchorlock/>
          </v:shape>
          <o:OLEObject Type="Embed" ProgID="Equation.3" ShapeID="_x0000_i1028" DrawAspect="Content" ObjectID="_1468075728" r:id="rId5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式中：W—农业需水总量，m³；</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object>
          <v:shape id="_x0000_i1029" o:spt="75" type="#_x0000_t75" style="height:18pt;width:23.25pt;" o:ole="t" filled="f" o:preferrelative="t" stroked="f" coordsize="21600,21600">
            <v:path/>
            <v:fill on="f" focussize="0,0"/>
            <v:stroke on="f" joinstyle="miter"/>
            <v:imagedata r:id="rId58" o:title=""/>
            <o:lock v:ext="edit" aspectratio="t"/>
            <w10:wrap type="none"/>
            <w10:anchorlock/>
          </v:shape>
          <o:OLEObject Type="Embed" ProgID="Equation.3" ShapeID="_x0000_i1029" DrawAspect="Content" ObjectID="_1468075729" r:id="rId57">
            <o:LockedField>false</o:LockedField>
          </o:OLEObject>
        </w:object>
      </w:r>
      <w:r>
        <w:rPr>
          <w:rFonts w:hint="eastAsia" w:ascii="仿宋_GB2312" w:hAnsi="仿宋_GB2312" w:eastAsia="仿宋_GB2312" w:cs="仿宋_GB2312"/>
          <w:color w:val="auto"/>
          <w:spacing w:val="0"/>
          <w:kern w:val="2"/>
          <w:position w:val="0"/>
          <w:sz w:val="28"/>
          <w:szCs w:val="28"/>
          <w:lang w:val="en-US" w:eastAsia="zh-CN" w:bidi="ar-SA"/>
        </w:rPr>
        <w:t>—第i种作物毛灌溉定额，m³/亩；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A</w:t>
      </w:r>
      <w:r>
        <w:rPr>
          <w:rFonts w:hint="eastAsia" w:ascii="仿宋_GB2312" w:hAnsi="仿宋_GB2312" w:eastAsia="仿宋_GB2312" w:cs="仿宋_GB2312"/>
          <w:color w:val="auto"/>
          <w:spacing w:val="0"/>
          <w:kern w:val="2"/>
          <w:position w:val="0"/>
          <w:sz w:val="28"/>
          <w:szCs w:val="28"/>
          <w:vertAlign w:val="subscript"/>
          <w:lang w:val="en-US" w:eastAsia="zh-CN" w:bidi="ar-SA"/>
        </w:rPr>
        <w:t>i</w:t>
      </w:r>
      <w:r>
        <w:rPr>
          <w:rFonts w:hint="eastAsia" w:ascii="仿宋_GB2312" w:hAnsi="仿宋_GB2312" w:eastAsia="仿宋_GB2312" w:cs="仿宋_GB2312"/>
          <w:color w:val="auto"/>
          <w:spacing w:val="0"/>
          <w:kern w:val="2"/>
          <w:position w:val="0"/>
          <w:sz w:val="28"/>
          <w:szCs w:val="28"/>
          <w:lang w:val="en-US" w:eastAsia="zh-CN" w:bidi="ar-SA"/>
        </w:rPr>
        <w:t>—第i种作物灌溉面积，亩；</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i/>
          <w:iCs/>
          <w:color w:val="auto"/>
          <w:spacing w:val="0"/>
          <w:position w:val="0"/>
          <w:sz w:val="28"/>
          <w:szCs w:val="28"/>
        </w:rPr>
      </w:pPr>
      <w:r>
        <w:rPr>
          <w:rFonts w:hint="eastAsia" w:ascii="仿宋_GB2312" w:hAnsi="仿宋_GB2312" w:eastAsia="仿宋_GB2312" w:cs="仿宋_GB2312"/>
          <w:i/>
          <w:iCs/>
          <w:color w:val="auto"/>
          <w:spacing w:val="0"/>
          <w:position w:val="0"/>
          <w:sz w:val="28"/>
          <w:szCs w:val="28"/>
        </w:rPr>
        <w:object>
          <v:shape id="_x0000_i1030" o:spt="75" type="#_x0000_t75" style="height:45.75pt;width:79.5pt;" o:ole="t" filled="f" o:preferrelative="t" stroked="f" coordsize="21600,21600">
            <v:path/>
            <v:fill on="f" focussize="0,0"/>
            <v:stroke on="f" joinstyle="miter"/>
            <v:imagedata r:id="rId60" o:title=""/>
            <o:lock v:ext="edit" aspectratio="t"/>
            <w10:wrap type="none"/>
            <w10:anchorlock/>
          </v:shape>
          <o:OLEObject Type="Embed" ProgID="Equation.3" ShapeID="_x0000_i1030" DrawAspect="Content" ObjectID="_1468075730" r:id="rId59">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t>
      </w:r>
      <w:r>
        <w:rPr>
          <w:rFonts w:hint="eastAsia" w:ascii="仿宋_GB2312" w:hAnsi="仿宋_GB2312" w:eastAsia="仿宋_GB2312" w:cs="仿宋_GB2312"/>
          <w:i/>
          <w:iCs/>
          <w:color w:val="auto"/>
          <w:spacing w:val="0"/>
          <w:kern w:val="2"/>
          <w:position w:val="0"/>
          <w:sz w:val="28"/>
          <w:szCs w:val="28"/>
          <w:lang w:val="en-US" w:eastAsia="zh-CN" w:bidi="ar-SA"/>
        </w:rPr>
        <w:t>Mi</w:t>
      </w:r>
      <w:r>
        <w:rPr>
          <w:rFonts w:hint="eastAsia" w:ascii="仿宋_GB2312" w:hAnsi="仿宋_GB2312" w:eastAsia="仿宋_GB2312" w:cs="仿宋_GB2312"/>
          <w:color w:val="auto"/>
          <w:spacing w:val="0"/>
          <w:kern w:val="2"/>
          <w:position w:val="0"/>
          <w:sz w:val="28"/>
          <w:szCs w:val="28"/>
          <w:lang w:val="en-US" w:eastAsia="zh-CN" w:bidi="ar-SA"/>
        </w:rPr>
        <w:t>净—第i种作物净灌溉定额，m/亩；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η—现状水平年灌溉水利用系数取0.55；</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η—设计水平年灌溉水利用系数取0.76。</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经计算，项目区现状水平年的农业净需水量1024.95万m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，毛需水量1863.55万m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，设计水平年的农业净需水量1047.65万m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，毛需水量为1378.49万m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，见表3.1-11、表3.1-12。</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2）其他用水</w:t>
      </w:r>
    </w:p>
    <w:p>
      <w:pPr>
        <w:widowControl w:val="0"/>
        <w:spacing w:line="420" w:lineRule="exact"/>
        <w:ind w:firstLine="560" w:firstLineChars="0"/>
        <w:jc w:val="left"/>
        <w:outlineLvl w:val="9"/>
        <w:rPr>
          <w:rFonts w:hint="eastAsia" w:ascii="楷体" w:hAnsi="楷体" w:eastAsia="宋体" w:cs="楷体"/>
          <w:b/>
          <w:bCs/>
          <w:kern w:val="2"/>
          <w:sz w:val="30"/>
          <w:szCs w:val="30"/>
          <w:lang w:val="en-US" w:eastAsia="zh-CN" w:bidi="ar-SA"/>
        </w:rPr>
      </w:pPr>
      <w:r>
        <w:rPr>
          <w:rFonts w:hint="eastAsia" w:ascii="仿宋_GB2312" w:hAnsi="仿宋_GB2312" w:eastAsia="仿宋_GB2312" w:cs="仿宋_GB2312"/>
          <w:color w:val="auto"/>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ind w:firstLine="560"/>
        <w:rPr>
          <w:color w:val="auto"/>
        </w:rPr>
        <w:sectPr>
          <w:headerReference r:id="rId1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3.1-11  现状水平年灌溉用水量计算表</w:t>
      </w:r>
    </w:p>
    <w:tbl>
      <w:tblPr>
        <w:tblStyle w:val="14"/>
        <w:tblW w:w="144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75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99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84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175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99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63.37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8.00</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3.63</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2.63</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129.35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152.43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115.22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14.54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6.61</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7.79</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3.54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2.56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148.52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134.64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73.83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14.17</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2.31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53.20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47.39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31.17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10.18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5.98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2.72</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96.72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113.98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103.33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86.16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3.93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8.42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193.66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206.89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172.50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113.45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37.07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21.77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9.89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7.15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15.32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38.69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352.10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414.93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376.16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313.65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67.40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39.59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17.99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1863.55 </w:t>
            </w:r>
          </w:p>
        </w:tc>
      </w:tr>
    </w:tbl>
    <w:p>
      <w:pPr>
        <w:widowControl/>
        <w:spacing w:line="240" w:lineRule="auto"/>
        <w:ind w:firstLine="0" w:firstLineChars="0"/>
        <w:jc w:val="left"/>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br w:type="page"/>
      </w:r>
    </w:p>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3.1-12  设计水平年灌溉用水量计算表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1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10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98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1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70.42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17.02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7.27</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84.93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22.40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9.56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67.84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7.94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89.26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90.27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82.75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20.51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9.32</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52.06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48.26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5.44</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69.28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7.15</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15.73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16.85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25.53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189.52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191.68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175.70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173.29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141.82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46.34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43.55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19.79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10.35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22.17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33.60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249.37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252.21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231.19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228.01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60.97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57.30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26.04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1378.49 </w:t>
            </w:r>
          </w:p>
        </w:tc>
      </w:tr>
    </w:tbl>
    <w:p>
      <w:pPr>
        <w:keepNext w:val="0"/>
        <w:keepLines w:val="0"/>
        <w:pageBreakBefore w:val="0"/>
        <w:widowControl w:val="0"/>
        <w:kinsoku/>
        <w:wordWrap/>
        <w:overflowPunct/>
        <w:topLinePunct w:val="0"/>
        <w:autoSpaceDE/>
        <w:autoSpaceDN/>
        <w:bidi w:val="0"/>
        <w:adjustRightInd/>
        <w:snapToGrid w:val="0"/>
        <w:spacing w:line="20" w:lineRule="exact"/>
        <w:ind w:firstLine="0" w:firstLineChars="0"/>
        <w:textAlignment w:val="auto"/>
        <w:rPr>
          <w:rFonts w:ascii="Times New Roman" w:hAnsi="Times New Roman" w:eastAsia="宋体" w:cs="Times New Roman"/>
          <w:color w:val="auto"/>
          <w:sz w:val="21"/>
          <w:szCs w:val="22"/>
        </w:rPr>
      </w:pPr>
    </w:p>
    <w:p>
      <w:pPr>
        <w:keepNext w:val="0"/>
        <w:keepLines w:val="0"/>
        <w:pageBreakBefore w:val="0"/>
        <w:widowControl w:val="0"/>
        <w:kinsoku/>
        <w:wordWrap/>
        <w:overflowPunct/>
        <w:topLinePunct w:val="0"/>
        <w:autoSpaceDE/>
        <w:autoSpaceDN/>
        <w:bidi w:val="0"/>
        <w:adjustRightInd/>
        <w:snapToGrid w:val="0"/>
        <w:spacing w:line="20" w:lineRule="exact"/>
        <w:textAlignment w:val="auto"/>
        <w:rPr>
          <w:color w:val="auto"/>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水量平衡计算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（1）水量平衡计算原则和计算方法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（2）项目实施前供需平衡分析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项目实施前现状年（2019年）作物种植结构、综合用水定额进行逐月水量平衡计算。各片区水量平衡过程及成果分别见表3.1-13</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表3.1-13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73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97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73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43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8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可供水量</w:t>
            </w: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81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14.54</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129.35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-110.38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100.38</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152.43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-125.67</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49.98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138.19</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-130.60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115.22</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75.78</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24.76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75.76</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表3.1-14  XX水库灌区片现状水平年水资源供需平衡计算表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8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20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89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tblHeader/>
          <w:jc w:val="center"/>
        </w:trPr>
        <w:tc>
          <w:tcPr>
            <w:tcW w:w="4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89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126.03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-111.91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101.91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61.72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148.52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-128.60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118.60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134.64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-128.99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83.99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33.15</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112.26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73.83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表3.1-15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8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78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7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483"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79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79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4.94</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96.72</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66.87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219.72</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182.84</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15.85</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511.9</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340.99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（3）项目实施后供需平衡分析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表3.1-16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59.98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35.59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表3.1-17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78.15</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68.32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39.71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表3.1-18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249.97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208.34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100.28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256.61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项目区水量平衡评估结论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表3.1-19 项目实施前后各项指标对比表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内容</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双季水稻种植面积（万亩）</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油菜种植面积（万亩）</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复种指数</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灌溉水利用系数</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缺水(万m3）</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余水(万m3）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0.87</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0.69588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0.85052</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0.53406</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0.65274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-410.11</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128.48</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9" w:name="_Toc45723018"/>
      <w:bookmarkStart w:id="50" w:name="_Toc14854195"/>
      <w:r>
        <w:rPr>
          <w:rFonts w:hint="eastAsia" w:ascii="黑体" w:hAnsi="黑体" w:eastAsia="黑体" w:cs="黑体"/>
          <w:b w:val="0"/>
          <w:bCs w:val="0"/>
          <w:color w:val="auto"/>
          <w:kern w:val="2"/>
          <w:sz w:val="28"/>
          <w:szCs w:val="28"/>
          <w:lang w:val="en-US" w:eastAsia="zh-CN" w:bidi="ar-SA"/>
        </w:rPr>
        <w:t>灌溉水质分析</w:t>
      </w:r>
      <w:bookmarkEnd w:id="49"/>
      <w:bookmarkEnd w:id="5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5" w:type="first"/>
          <w:footerReference r:id="rId17" w:type="first"/>
          <w:headerReference r:id="rId13" w:type="default"/>
          <w:headerReference r:id="rId14" w:type="even"/>
          <w:footerReference r:id="rId16"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right="0"/>
        <w:jc w:val="center"/>
        <w:textAlignment w:val="auto"/>
        <w:rPr>
          <w:rFonts w:hint="eastAsia" w:ascii="方正小标宋简体" w:hAnsi="方正小标宋简体" w:eastAsia="方正小标宋简体" w:cs="方正小标宋简体"/>
          <w:b w:val="0"/>
          <w:bCs w:val="0"/>
          <w:color w:val="auto"/>
          <w:sz w:val="36"/>
          <w:szCs w:val="36"/>
        </w:rPr>
      </w:pPr>
      <w:bookmarkStart w:id="51" w:name="_Toc14854196"/>
      <w:bookmarkStart w:id="52" w:name="_Toc45723019"/>
      <w:r>
        <w:rPr>
          <w:rFonts w:hint="eastAsia" w:ascii="方正小标宋简体" w:hAnsi="方正小标宋简体" w:eastAsia="方正小标宋简体" w:cs="方正小标宋简体"/>
          <w:b w:val="0"/>
          <w:bCs w:val="0"/>
          <w:color w:val="auto"/>
          <w:sz w:val="36"/>
          <w:szCs w:val="36"/>
        </w:rPr>
        <w:t>工程任务与规模</w:t>
      </w:r>
      <w:bookmarkEnd w:id="51"/>
      <w:bookmarkEnd w:id="5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53" w:name="_Toc14854197"/>
      <w:bookmarkStart w:id="54" w:name="_Toc45723020"/>
      <w:r>
        <w:rPr>
          <w:rFonts w:hint="eastAsia" w:ascii="黑体" w:hAnsi="黑体" w:eastAsia="黑体" w:cs="黑体"/>
          <w:b w:val="0"/>
          <w:bCs w:val="0"/>
          <w:color w:val="auto"/>
          <w:kern w:val="2"/>
          <w:sz w:val="28"/>
          <w:szCs w:val="28"/>
          <w:lang w:val="en-US" w:eastAsia="zh-CN" w:bidi="ar-SA"/>
        </w:rPr>
        <w:t>项目区存在问题与建设必要性</w:t>
      </w:r>
      <w:bookmarkEnd w:id="53"/>
      <w:bookmarkEnd w:id="5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项目区存在问题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（3）田块及土壤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项目区田块相对较集中，但存在田块杂乱、田块面积不大、田块高低不平，成为有意向进行土地流转，调整产业结构的项目村组的制约因素。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根据XX县土肥站提供的耕地地力调查结果和现场勘查，一半以上的耕地地力等级偏低是造成项目区粮食产量不高的主要因素。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（5）农田防护和生态环境保护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XX县农业各相关部门通过近十年来农业科技措施的推广，目前项目区农业新技术、新品种、新成果得到农户的认可，科技贡献成果显著。但因项目资金限制，未能够大面积的推广。</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项目建设必要性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（1）促进经济社会快速发展和可待续发展的需要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通过对现有项目土地土壤改良，改善现有耕地质量，增大现有耕地土壤肥力，提高农作物产出率，增加农民收入，提高现有农业综合生产能力的需要。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（3）水资源高效利用和经济社会可持续发展的需要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（4）调整产业结构、增强产品竞争力、增加农民收入的需要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（5）发展现代化农业的需要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（6）紧密结合人居环境整治和生态环境友好发展的需要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对项目区部分区域进行防护林设置有利于推进人居环境整治和配套，进一步完善生态环境。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（7）加快社会主义新农村建设的需要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农业科技推广是农业科学技术转化为农业现实生产力的桥梁和纽带， 是加快社会主义新农村建设、促进农村生产力发展的最有效措施。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综上所述，对项目区实施土地平整、土壤改良、灌溉与排水工程、高效节水工程、田间道路工程、农田环境与生态环境保持、科技推广措施建设，意义巨大，势在必行。</w:t>
      </w:r>
      <w:bookmarkStart w:id="55" w:name="_Toc1485419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56" w:name="_Toc45723021"/>
      <w:r>
        <w:rPr>
          <w:rFonts w:hint="eastAsia" w:ascii="黑体" w:hAnsi="黑体" w:eastAsia="黑体" w:cs="黑体"/>
          <w:b w:val="0"/>
          <w:bCs w:val="0"/>
          <w:color w:val="auto"/>
          <w:kern w:val="2"/>
          <w:sz w:val="28"/>
          <w:szCs w:val="28"/>
          <w:lang w:val="en-US" w:eastAsia="zh-CN" w:bidi="ar-SA"/>
        </w:rPr>
        <w:t>建设任务</w:t>
      </w:r>
      <w:bookmarkEnd w:id="55"/>
      <w:bookmarkEnd w:id="5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指导思想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深入贯彻落实十九大以来系列精神，按照202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法律依据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（1）《中华人民共和国土地管理法》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（2）《中华人民共和国水法》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（3）《中华人民共和国水土保持法》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（4）《中华人民共和国森林法》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（5）《中华人民共和国农业法》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（6）《中华人民共和国生态环境保护法》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（7）《中华人民共和国基本农田保护条例》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（8）《中华人民共和国土地管理法实施条例》</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政策依据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年中央一号文件《中共中央国务院关于抓好“三农”领域重点工作确保如期实现全面小康的意见》；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）中华人民共和国农业农村部令2019年第4号《农田建设项目管理办法》；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）《农业农村部关于下达202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年农田建设任务的通知》（农建发[20</w:t>
      </w:r>
      <w:r>
        <w:rPr>
          <w:rFonts w:hint="eastAsia" w:ascii="仿宋_GB2312" w:hAnsi="仿宋_GB2312" w:eastAsia="仿宋_GB2312" w:cs="仿宋_GB2312"/>
          <w:color w:val="auto"/>
          <w:sz w:val="28"/>
          <w:szCs w:val="28"/>
          <w:lang w:val="en-US" w:eastAsia="zh-CN"/>
        </w:rPr>
        <w:t>21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号）；</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规划依据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）《“十三五”新增1亿亩高效节水灌溉面积实施方案》（水农[2017]8号）。</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（1）坚持统筹规划、突出重点的原则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坚持规划先行，按《高标准农田建设规划（2011-</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年）》确定发展的重点区域、重点项目，明确资金的重点投向，优先安排“两区”（水稻生产功能区和油菜籽、棉花生产保护区）和永久基本农田保护区、国家种子基地、贫困地区的高标准农田建设。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（2）坚持避免重复建设、填平补齐的原则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（3）坚持科学布局、典型示范的原则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（4）坚持集中连片、规模开发的原则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坚持按灌区、流域和区域整体规划，采取“集中力量，重点投入，连片开发”的治理方式，加大规模开发力度，确保治理区域相对集中，力争治理一片，成效一片，致富一方。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（5）坚持综合投入、合力开发的原则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充分发挥高标准农田建设项目资金的引导作用，统筹相关支农资金，积极引导信贷资金、民间资本等各种社会资金投入，形成强大的资金合力。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（6）坚持政府主导、农民主体的原则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（7）坚持统筹协调、务求实效的原则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高标准农田建设项目是一项系统工程，必须充分调动相关部门的积极性，集聚多方力量，形成建设合力。合理确定发展的目标和任务，讲求实效，量力而行，力戒形式主义，严禁形象工程。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（2）土壤改良。通过施用生石灰、深翻深松、改善灌排条件等措施改良土壤理化性状；施用农家肥、秸杆还田、种植绿肥、种植肥田油菜等措施，提升土壤有机质含量。耕地质量提高0.5个等级。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（6）林网建设适宜：防御风蚀能力提高，水土流失减少，农田生态环境改善。具体目标：造林当年成活率达到95%以上，三年后保存率要达到90%以上，农村人居环境得到较大改善。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表4.2</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建设任务统计表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w:t>
            </w:r>
          </w:p>
        </w:tc>
        <w:tc>
          <w:tcPr>
            <w:tcW w:w="11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w:t>
            </w:r>
          </w:p>
        </w:tc>
        <w:tc>
          <w:tcPr>
            <w:tcW w:w="205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建设面积（亩）</w:t>
            </w:r>
          </w:p>
        </w:tc>
        <w:tc>
          <w:tcPr>
            <w:tcW w:w="407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tblHeader/>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土地平整面积（亩）</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3392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4544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3593</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4139</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5934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220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仿宋_GB2312" w:hAnsi="仿宋_GB2312" w:eastAsia="仿宋_GB2312" w:cs="仿宋_GB2312"/>
          <w:b w:val="0"/>
          <w:bCs w:val="0"/>
          <w:color w:val="auto"/>
          <w:kern w:val="2"/>
          <w:sz w:val="28"/>
          <w:szCs w:val="28"/>
          <w:lang w:val="en-US" w:eastAsia="zh-CN" w:bidi="ar-SA"/>
        </w:rPr>
      </w:pPr>
      <w:bookmarkStart w:id="57" w:name="_Toc45723022"/>
      <w:r>
        <w:rPr>
          <w:rFonts w:hint="eastAsia" w:ascii="仿宋_GB2312" w:hAnsi="仿宋_GB2312" w:eastAsia="仿宋_GB2312" w:cs="仿宋_GB2312"/>
          <w:b w:val="0"/>
          <w:bCs w:val="0"/>
          <w:color w:val="auto"/>
          <w:kern w:val="2"/>
          <w:sz w:val="28"/>
          <w:szCs w:val="28"/>
          <w:lang w:val="en-US" w:eastAsia="zh-CN" w:bidi="ar-SA"/>
        </w:rPr>
        <w:t>项目建设规模</w:t>
      </w:r>
      <w:bookmarkEnd w:id="5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总体规模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年度）计划完成高标准农田建设面积2.16万亩，其中高效节水面积0.10万亩。</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en-US" w:bidi="ar-SA"/>
        </w:rPr>
        <w:t>表4.3</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主要建设内容表</w:t>
      </w:r>
    </w:p>
    <w:tbl>
      <w:tblPr>
        <w:tblStyle w:val="14"/>
        <w:tblW w:w="9056" w:type="dxa"/>
        <w:jc w:val="center"/>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r>
      <w:tr>
        <w:tblPrEx>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毛家岗</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黄林堰</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清泉</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规划面积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3392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4544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3593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4139</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5934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21602</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土壤改良工程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3050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3230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3730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5440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19640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贫瘠土壤改良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酸化土壤改良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水源工程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机埠改造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灌溉排水工程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1860/5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5611/13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9704/27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19520/47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农渠(QT)</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397/3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920/4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1317/7</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田间渠(QG)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1327/1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4692/7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9755/13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灌排渠(QP)</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3300/6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3088/13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6524/20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PE管（QG）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田间道路工程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泥结石路(JS)</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1692/5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6428/17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1203/1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950/3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4857/10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15130/36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生态环境保护</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其他工程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过路涵</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分水口</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人行桥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会车道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下田坡道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道路绿化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太阳能杀虫灯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套</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100</w:t>
            </w:r>
          </w:p>
        </w:tc>
      </w:tr>
    </w:tbl>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firstLine="560" w:firstLineChars="200"/>
        <w:jc w:val="both"/>
        <w:textAlignment w:val="auto"/>
        <w:rPr>
          <w:rFonts w:hint="eastAsia" w:ascii="黑体" w:hAnsi="黑体" w:eastAsia="黑体" w:cs="黑体"/>
          <w:b w:val="0"/>
          <w:bCs w:val="0"/>
          <w:color w:val="auto"/>
          <w:sz w:val="28"/>
          <w:szCs w:val="28"/>
        </w:rPr>
      </w:pPr>
      <w:bookmarkStart w:id="58" w:name="_Toc14854201"/>
      <w:bookmarkStart w:id="59" w:name="_Toc45723023"/>
      <w:r>
        <w:rPr>
          <w:rFonts w:hint="eastAsia" w:ascii="黑体" w:hAnsi="黑体" w:eastAsia="黑体" w:cs="黑体"/>
          <w:b w:val="0"/>
          <w:bCs w:val="0"/>
          <w:color w:val="auto"/>
          <w:sz w:val="28"/>
          <w:szCs w:val="28"/>
        </w:rPr>
        <w:t>工程布局</w:t>
      </w:r>
      <w:bookmarkEnd w:id="58"/>
      <w:bookmarkEnd w:id="5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0" w:name="_Toc45723024"/>
      <w:r>
        <w:rPr>
          <w:rFonts w:hint="eastAsia" w:ascii="黑体" w:hAnsi="黑体" w:eastAsia="黑体" w:cs="黑体"/>
          <w:b w:val="0"/>
          <w:bCs w:val="0"/>
          <w:color w:val="auto"/>
          <w:kern w:val="2"/>
          <w:sz w:val="28"/>
          <w:szCs w:val="28"/>
          <w:lang w:val="en-US" w:eastAsia="zh-CN" w:bidi="ar-SA"/>
        </w:rPr>
        <w:t>土地平整</w:t>
      </w:r>
      <w:bookmarkEnd w:id="6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1" w:name="_Toc45723025"/>
      <w:r>
        <w:rPr>
          <w:rFonts w:hint="eastAsia" w:ascii="黑体" w:hAnsi="黑体" w:eastAsia="黑体" w:cs="黑体"/>
          <w:b w:val="0"/>
          <w:bCs w:val="0"/>
          <w:color w:val="auto"/>
          <w:kern w:val="2"/>
          <w:sz w:val="28"/>
          <w:szCs w:val="28"/>
          <w:lang w:val="en-US" w:eastAsia="zh-CN" w:bidi="ar-SA"/>
        </w:rPr>
        <w:t>土壤改良</w:t>
      </w:r>
      <w:bookmarkEnd w:id="6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根据项目区农田土壤类别、耕地质量现状与土壤主要障碍因子，合理确定项目区土壤改良范围、面积、类别，以及各乡（镇）村分布情况等。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（2）土壤改良工程布置方案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表5.2-1  项目区土壤改良工程布局方案</w:t>
      </w:r>
    </w:p>
    <w:tbl>
      <w:tblPr>
        <w:tblStyle w:val="14"/>
        <w:tblW w:w="8522" w:type="dxa"/>
        <w:jc w:val="center"/>
        <w:tblLayout w:type="fixed"/>
        <w:tblCellMar>
          <w:top w:w="0" w:type="dxa"/>
          <w:left w:w="108" w:type="dxa"/>
          <w:bottom w:w="0" w:type="dxa"/>
          <w:right w:w="108" w:type="dxa"/>
        </w:tblCellMar>
      </w:tblPr>
      <w:tblGrid>
        <w:gridCol w:w="2036"/>
        <w:gridCol w:w="2037"/>
        <w:gridCol w:w="2412"/>
        <w:gridCol w:w="2037"/>
      </w:tblGrid>
      <w:tr>
        <w:tblPrEx>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酸性土壤改良面积（亩）</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3050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毛家岗</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4190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黄林堰</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清泉</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金坪</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2" w:name="_Toc45723026"/>
      <w:r>
        <w:rPr>
          <w:rFonts w:hint="eastAsia" w:ascii="黑体" w:hAnsi="黑体" w:eastAsia="黑体" w:cs="黑体"/>
          <w:b w:val="0"/>
          <w:bCs w:val="0"/>
          <w:color w:val="auto"/>
          <w:kern w:val="2"/>
          <w:sz w:val="28"/>
          <w:szCs w:val="28"/>
          <w:lang w:val="en-US" w:eastAsia="zh-CN" w:bidi="ar-SA"/>
        </w:rPr>
        <w:t>灌排系统</w:t>
      </w:r>
      <w:bookmarkEnd w:id="6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1）从地形、地质、工程量、施工、投资、运行等方面进行水源工程、输水工程、高效节水灌溉工程、排水工程布局方案的比选，通过综合分析比较，选定工程布局方案。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项目区灌溉与排水工程建设内容及布局方案，见表5.3-1。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表5.3-1  项目区灌溉与排水工程布局方案</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名 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水源工程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机埠改造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19520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1860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5611</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9704</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3" w:name="_Toc45723027"/>
      <w:r>
        <w:rPr>
          <w:rFonts w:hint="eastAsia" w:ascii="黑体" w:hAnsi="黑体" w:eastAsia="黑体" w:cs="黑体"/>
          <w:b w:val="0"/>
          <w:bCs w:val="0"/>
          <w:color w:val="auto"/>
          <w:kern w:val="2"/>
          <w:sz w:val="28"/>
          <w:szCs w:val="28"/>
          <w:lang w:val="en-US" w:eastAsia="zh-CN" w:bidi="ar-SA"/>
        </w:rPr>
        <w:t>田间道路工程</w:t>
      </w:r>
      <w:bookmarkEnd w:id="6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1）根据项目区骨干道路与项目区外道路的衔接情况，确定项目区内道路系统布置和各级道路配置关系。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2）田间道路及机耕桥涵的布置，应与灌排系统相协调，应满足农业机械通行要求，并合理确定各级道路与灌（排）渠（沟）之间的关系。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3）结合现场调查、勘测资料，合理确定项目区需要新建、改造的田间道路布置。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项目区田间道路工程建设内容及布置方案，见表5.4-1。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表5.4-1  项目区田间道路工程布置方案</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名 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田间道路工程</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15130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6428</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下田坡道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会车道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4" w:name="_Toc45723028"/>
      <w:r>
        <w:rPr>
          <w:rFonts w:hint="eastAsia" w:ascii="黑体" w:hAnsi="黑体" w:eastAsia="黑体" w:cs="黑体"/>
          <w:b w:val="0"/>
          <w:bCs w:val="0"/>
          <w:color w:val="auto"/>
          <w:kern w:val="2"/>
          <w:sz w:val="28"/>
          <w:szCs w:val="28"/>
          <w:lang w:val="en-US" w:eastAsia="zh-CN" w:bidi="ar-SA"/>
        </w:rPr>
        <w:t>农田防护与生态环境保持工程</w:t>
      </w:r>
      <w:bookmarkEnd w:id="6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1）根据项目区农田风害情况与结合人居环境整治需要，合理确定农田防护工程布设的范围。因地制宜确定植树、植草、生态护坎护坡等生态环境保持工程的类型及布置区域。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2）结合项目区现状，合理确定岸坡防护、沟道治理、坡面防护等农田防护工程的类型及布置区域。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3）结合乡村人居环境整治，进行生态环境保持工程的同时，可适当增加人行漫步道、石凳、园林景观等工程。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项目区农田防护与生态环境保持工程建设内容有新建护路护沟（渠）林2973m；对扰动的裸露地表植草皮，在居民集中区的5座堰塘进行护岸、绿化、修建行人漫步道等，详见表5.5-1。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表5.5-1  项目区农田防护与生态环境保持工程布置方案</w:t>
      </w:r>
    </w:p>
    <w:tbl>
      <w:tblPr>
        <w:tblStyle w:val="14"/>
        <w:tblW w:w="9055" w:type="dxa"/>
        <w:jc w:val="center"/>
        <w:tblLayout w:type="fixed"/>
        <w:tblCellMar>
          <w:top w:w="0" w:type="dxa"/>
          <w:left w:w="108" w:type="dxa"/>
          <w:bottom w:w="0" w:type="dxa"/>
          <w:right w:w="108" w:type="dxa"/>
        </w:tblCellMar>
      </w:tblPr>
      <w:tblGrid>
        <w:gridCol w:w="554"/>
        <w:gridCol w:w="1803"/>
        <w:gridCol w:w="1007"/>
        <w:gridCol w:w="1097"/>
        <w:gridCol w:w="1008"/>
        <w:gridCol w:w="1008"/>
        <w:gridCol w:w="2578"/>
      </w:tblGrid>
      <w:tr>
        <w:tblPrEx>
          <w:tblCellMar>
            <w:top w:w="0" w:type="dxa"/>
            <w:left w:w="108" w:type="dxa"/>
            <w:bottom w:w="0" w:type="dxa"/>
            <w:right w:w="108" w:type="dxa"/>
          </w:tblCellMar>
        </w:tblPrEx>
        <w:trPr>
          <w:trHeight w:val="270"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工程量</w:t>
            </w:r>
          </w:p>
        </w:tc>
        <w:tc>
          <w:tcPr>
            <w:tcW w:w="10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工程量</w:t>
            </w:r>
          </w:p>
        </w:tc>
        <w:tc>
          <w:tcPr>
            <w:tcW w:w="257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备注</w:t>
            </w:r>
          </w:p>
        </w:tc>
      </w:tr>
      <w:tr>
        <w:tblPrEx>
          <w:tblCellMar>
            <w:top w:w="0" w:type="dxa"/>
            <w:left w:w="108" w:type="dxa"/>
            <w:bottom w:w="0" w:type="dxa"/>
            <w:right w:w="108" w:type="dxa"/>
          </w:tblCellMar>
        </w:tblPrEx>
        <w:trPr>
          <w:trHeight w:val="30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草皮护坡</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m2</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677443.8</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沟渠路等裸露地表植草皮</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EK21（荷花堰）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354</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EK48（长堰）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102</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EK50（曲堰）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204</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QG02串塘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QG08串塘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JS35</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1373</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JS36</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1600</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800</w:t>
            </w:r>
          </w:p>
        </w:tc>
        <w:tc>
          <w:tcPr>
            <w:tcW w:w="25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5" w:name="_Toc45723029"/>
      <w:r>
        <w:rPr>
          <w:rFonts w:hint="eastAsia" w:ascii="黑体" w:hAnsi="黑体" w:eastAsia="黑体" w:cs="黑体"/>
          <w:b w:val="0"/>
          <w:bCs w:val="0"/>
          <w:color w:val="auto"/>
          <w:kern w:val="2"/>
          <w:sz w:val="28"/>
          <w:szCs w:val="28"/>
          <w:lang w:val="en-US" w:eastAsia="zh-CN" w:bidi="ar-SA"/>
        </w:rPr>
        <w:t>农田输配电</w:t>
      </w:r>
      <w:bookmarkEnd w:id="6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本次项目不涉及农田输配电工程。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6" w:name="_Toc45723030"/>
      <w:r>
        <w:rPr>
          <w:rFonts w:hint="eastAsia" w:ascii="黑体" w:hAnsi="黑体" w:eastAsia="黑体" w:cs="黑体"/>
          <w:b w:val="0"/>
          <w:bCs w:val="0"/>
          <w:color w:val="auto"/>
          <w:kern w:val="2"/>
          <w:sz w:val="28"/>
          <w:szCs w:val="28"/>
          <w:lang w:val="en-US" w:eastAsia="zh-CN" w:bidi="ar-SA"/>
        </w:rPr>
        <w:t>科技推广措施</w:t>
      </w:r>
      <w:bookmarkEnd w:id="6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本次项目科技推广措施工程为新建频振式太阳能杀虫灯100套，规划在项目区田块成片面积500亩以上的区域。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7" w:name="_Toc45723031"/>
      <w:r>
        <w:rPr>
          <w:rFonts w:hint="eastAsia" w:ascii="黑体" w:hAnsi="黑体" w:eastAsia="黑体" w:cs="黑体"/>
          <w:b w:val="0"/>
          <w:bCs w:val="0"/>
          <w:color w:val="auto"/>
          <w:kern w:val="2"/>
          <w:sz w:val="28"/>
          <w:szCs w:val="28"/>
          <w:lang w:val="en-US" w:eastAsia="zh-CN" w:bidi="ar-SA"/>
        </w:rPr>
        <w:t>其他农业措施</w:t>
      </w:r>
      <w:bookmarkEnd w:id="67"/>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8"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本次项目不涉及其他农业措施工程。</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jc w:val="center"/>
        <w:rPr>
          <w:rFonts w:hint="eastAsia" w:ascii="方正小标宋简体" w:hAnsi="方正小标宋简体" w:eastAsia="方正小标宋简体" w:cs="方正小标宋简体"/>
          <w:b w:val="0"/>
          <w:bCs w:val="0"/>
          <w:color w:val="auto"/>
          <w:sz w:val="36"/>
          <w:szCs w:val="36"/>
        </w:rPr>
      </w:pPr>
      <w:bookmarkStart w:id="68" w:name="_Toc45723032"/>
      <w:bookmarkStart w:id="69" w:name="_Toc14854207"/>
      <w:r>
        <w:rPr>
          <w:rFonts w:hint="eastAsia" w:ascii="方正小标宋简体" w:hAnsi="方正小标宋简体" w:eastAsia="方正小标宋简体" w:cs="方正小标宋简体"/>
          <w:b w:val="0"/>
          <w:bCs w:val="0"/>
          <w:color w:val="auto"/>
          <w:sz w:val="36"/>
          <w:szCs w:val="36"/>
        </w:rPr>
        <w:t>工程设计</w:t>
      </w:r>
      <w:bookmarkEnd w:id="68"/>
      <w:bookmarkEnd w:id="6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0" w:name="_Toc45723033"/>
      <w:r>
        <w:rPr>
          <w:rFonts w:hint="eastAsia" w:ascii="黑体" w:hAnsi="黑体" w:eastAsia="黑体" w:cs="黑体"/>
          <w:b w:val="0"/>
          <w:bCs w:val="0"/>
          <w:color w:val="auto"/>
          <w:kern w:val="2"/>
          <w:sz w:val="28"/>
          <w:szCs w:val="28"/>
          <w:lang w:val="en-US" w:eastAsia="zh-CN" w:bidi="ar-SA"/>
        </w:rPr>
        <w:t>设计依据</w:t>
      </w:r>
      <w:bookmarkEnd w:id="7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工程技术标准依据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（1）《高标准农田建设通则》（GB/T30600-20</w:t>
      </w:r>
      <w:r>
        <w:rPr>
          <w:rFonts w:hint="eastAsia" w:ascii="仿宋_GB2312" w:hAnsi="仿宋_GB2312" w:cs="仿宋_GB2312"/>
          <w:color w:val="auto"/>
          <w:sz w:val="28"/>
          <w:szCs w:val="28"/>
          <w:lang w:val="en-US" w:eastAsia="zh-CN"/>
        </w:rPr>
        <w:t>22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（2）《灌溉与排水工程设计标准》（GB50288-2018）；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（3）《节水灌溉工程技术标准》（GB/T50363-2018）；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（4）《渠道防渗工程技术规范》（GB/T50600-2010）；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（5）《农田灌溉水质标准》（GBT5084-2005）；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（6）《管道输水灌溉工程技术规范》（GB/T20203-2017）；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（7）《泵站设计规范》（GB50265-2010）；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（8）《农田排水工程技术规范》（SL4-2013）；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（9）《灌溉与排水渠系构筑物设计规范》（SL482-2011）；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（10）《水闸设计规范》（SL265-2016）；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（11）《水利水电工程等级划分及洪水标准》（SL252-2017）；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（12）《水利水电工程设计洪水计算规范》（SL44-2006）；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（13）《水工混凝土结构设计规范》（SL191-2008）；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（14）《水利水电工程施工组织设计规范》（SL303-2017）；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）《水土保持工程设计规范》（GB51018-2014）；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16</w:t>
      </w:r>
      <w:r>
        <w:rPr>
          <w:rFonts w:hint="eastAsia" w:ascii="仿宋_GB2312" w:hAnsi="仿宋_GB2312" w:eastAsia="仿宋_GB2312" w:cs="仿宋_GB2312"/>
          <w:color w:val="auto"/>
          <w:sz w:val="28"/>
          <w:szCs w:val="28"/>
        </w:rPr>
        <w:t>）《工程测量规范》（GB50026-2007）；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17</w:t>
      </w:r>
      <w:r>
        <w:rPr>
          <w:rFonts w:hint="eastAsia" w:ascii="仿宋_GB2312" w:hAnsi="仿宋_GB2312" w:eastAsia="仿宋_GB2312" w:cs="仿宋_GB2312"/>
          <w:color w:val="auto"/>
          <w:sz w:val="28"/>
          <w:szCs w:val="28"/>
        </w:rPr>
        <w:t>）《全球定位系统（GPS）测量规范》（GB/T18314-2009）。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其他资料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（1）XX县高标准农田建设统一上图入库成果；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（2）项目区基本农田保护图（1：10000）；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（3）项目区土地利用现状图（1：10000）；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（4）项目区地形图（1：10000）；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（5）项目区实测图（1：1000）；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（6）设计人员现场调查与踏勘资料；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（7）建设单位提供的其他基础资料等。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1" w:name="_Toc45723034"/>
      <w:r>
        <w:rPr>
          <w:rFonts w:hint="eastAsia" w:ascii="黑体" w:hAnsi="黑体" w:eastAsia="黑体" w:cs="黑体"/>
          <w:b w:val="0"/>
          <w:bCs w:val="0"/>
          <w:color w:val="auto"/>
          <w:kern w:val="2"/>
          <w:sz w:val="28"/>
          <w:szCs w:val="28"/>
          <w:lang w:val="en-US" w:eastAsia="zh-CN" w:bidi="ar-SA"/>
        </w:rPr>
        <w:t>工程等级与标准</w:t>
      </w:r>
      <w:bookmarkEnd w:id="7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项目规划区工程建设标准根据《灌溉与排水工程设计标准》（GB50288-2018），《灌溉与排水渠系建筑物设计规范》（SL482-2011），结合《高标准农田建设通则》（GB/T30600-20</w:t>
      </w:r>
      <w:r>
        <w:rPr>
          <w:rFonts w:hint="eastAsia" w:ascii="仿宋_GB2312" w:hAnsi="仿宋_GB2312" w:cs="仿宋_GB2312"/>
          <w:color w:val="auto"/>
          <w:sz w:val="28"/>
          <w:szCs w:val="28"/>
          <w:lang w:val="en-US" w:eastAsia="zh-CN"/>
        </w:rPr>
        <w:t>22</w:t>
      </w:r>
      <w:r>
        <w:rPr>
          <w:rFonts w:hint="eastAsia" w:ascii="仿宋_GB2312" w:hAnsi="仿宋_GB2312" w:eastAsia="仿宋_GB2312" w:cs="仿宋_GB2312"/>
          <w:color w:val="auto"/>
          <w:sz w:val="28"/>
          <w:szCs w:val="28"/>
        </w:rPr>
        <w:t>），综合分析确定如下：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根据《水利水电工程等级划分及洪水标准》（SL252-2017），山塘分级标准如下表6.2-1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表6.2-1  山塘工程等级划分及防洪标准</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工程等别</w:t>
            </w:r>
          </w:p>
        </w:tc>
        <w:tc>
          <w:tcPr>
            <w:tcW w:w="120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工程规模</w:t>
            </w:r>
          </w:p>
        </w:tc>
        <w:tc>
          <w:tcPr>
            <w:tcW w:w="15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建筑物级别</w:t>
            </w:r>
          </w:p>
        </w:tc>
        <w:tc>
          <w:tcPr>
            <w:tcW w:w="190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总容积（万m</w:t>
            </w:r>
            <w:r>
              <w:rPr>
                <w:rFonts w:hint="eastAsia" w:ascii="仿宋_GB2312" w:hAnsi="仿宋_GB2312" w:eastAsia="仿宋_GB2312" w:cs="仿宋_GB2312"/>
                <w:color w:val="auto"/>
                <w:sz w:val="22"/>
                <w:szCs w:val="22"/>
                <w:vertAlign w:val="superscript"/>
              </w:rPr>
              <w:t>3</w:t>
            </w:r>
            <w:r>
              <w:rPr>
                <w:rFonts w:hint="eastAsia" w:ascii="仿宋_GB2312" w:hAnsi="仿宋_GB2312" w:eastAsia="仿宋_GB2312" w:cs="仿宋_GB2312"/>
                <w:color w:val="auto"/>
                <w:sz w:val="22"/>
                <w:szCs w:val="22"/>
              </w:rPr>
              <w:t>）</w:t>
            </w:r>
          </w:p>
        </w:tc>
        <w:tc>
          <w:tcPr>
            <w:tcW w:w="304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5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90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设计</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Ⅵ</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r>
              <w:rPr>
                <w:rFonts w:hint="eastAsia" w:ascii="Times New Roman" w:hAnsi="Times New Roman" w:eastAsia="仿宋_GB2312" w:cs="仿宋_GB2312"/>
                <w:color w:val="auto"/>
                <w:sz w:val="22"/>
                <w:szCs w:val="22"/>
                <w:lang w:eastAsia="zh-CN"/>
              </w:rPr>
              <w:t>~</w:t>
            </w:r>
            <w:r>
              <w:rPr>
                <w:rFonts w:hint="eastAsia" w:ascii="仿宋_GB2312" w:hAnsi="仿宋_GB2312" w:eastAsia="仿宋_GB2312" w:cs="仿宋_GB2312"/>
                <w:color w:val="auto"/>
                <w:sz w:val="22"/>
                <w:szCs w:val="22"/>
              </w:rPr>
              <w:t>10</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Ⅶ</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一般山塘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/s，装机功率均小于0.1MW，故工程提灌机埠工程等级均为Ⅴ级，主要建筑物级别为5级，次要建筑物级别为5级。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（2）灌溉排水渠道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确定各项目工程建设标准如下: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（1）小型水源工程建设标准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引水河坝工程要安全运行，引水设施齐全，运行可靠，达到设计引水标准；骨干塘堰塘加固，渗漏堰坝迎水面防渗处理，蓄水容量达到设计容量的90%以上。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（2）小型泵站工程建设标准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灌溉泵站工程灌溉保证率达到90％以上，泵站机电设备完好率达到90％，机泵装置效率达到55％，能源单耗不大于5kw•h／(kt•m)。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（3）小型灌溉渠道工程建设标准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渠系水利用系数达到0.80以上，灌溉水利用系数达0.76以上，灌区灌溉保证率达到90％。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4）排涝设计标准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水田设计排涝标准为：10年一遇的3d暴雨，3d排至作物的耐淹深度；旱地设计排涝标准为：10年一遇的1d暴雨，1d排至田面无积水。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田间道路通达度达到90%以上，机耕路路面宽度2.5m～3.5m，生产路路面宽度2m～2.5m。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6）小型农田水利工程建设质量全部合格，外观质量优良率达85%以上，优良工程率达50%以上。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2" w:name="_Toc45723035"/>
      <w:bookmarkStart w:id="73" w:name="_Toc436127844"/>
      <w:r>
        <w:rPr>
          <w:rFonts w:hint="eastAsia" w:ascii="黑体" w:hAnsi="黑体" w:eastAsia="黑体" w:cs="黑体"/>
          <w:b w:val="0"/>
          <w:bCs w:val="0"/>
          <w:color w:val="auto"/>
          <w:kern w:val="2"/>
          <w:sz w:val="28"/>
          <w:szCs w:val="28"/>
          <w:lang w:val="en-US" w:eastAsia="zh-CN" w:bidi="ar-SA"/>
        </w:rPr>
        <w:t>土地平整设计</w:t>
      </w:r>
      <w:bookmarkEnd w:id="7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田块内平整按照局部平整要求，以格田为单元进行田块内平整，尽量保证平整单元内挖填平衡。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根据平整区实际情况，本次设计将该区划分为为122个田块，田块高程由西至东、由高到低为37.79m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33.18m。各田块结合项目区内机耕道、排水沟等的布置，按100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130m长分小块。局部小的田块根据实际情况和当地群众需要进行划分。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1）土地平整土方量计算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土方平整采用面积加权法，计算方法如下：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①根据各测点高程和其控制面积计算出田块平均高程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32"/>
          <w:sz w:val="28"/>
          <w:szCs w:val="28"/>
          <w:lang w:val="en-US" w:eastAsia="zh-CN" w:bidi="ar-SA"/>
        </w:rPr>
      </w:pP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a</w:t>
      </w:r>
      <w:r>
        <w:rPr>
          <w:rFonts w:hint="eastAsia" w:ascii="仿宋_GB2312" w:hAnsi="仿宋_GB2312" w:eastAsia="仿宋_GB2312" w:cs="仿宋_GB2312"/>
          <w:color w:val="auto"/>
          <w:kern w:val="32"/>
          <w:sz w:val="28"/>
          <w:szCs w:val="28"/>
          <w:lang w:val="en-US" w:eastAsia="zh-CN" w:bidi="ar-SA"/>
        </w:rPr>
        <w:t xml:space="preserve"> = (H</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 +H</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w:t>
      </w:r>
      <w:r>
        <w:rPr>
          <w:rFonts w:hint="eastAsia" w:ascii="仿宋_GB2312" w:hAnsi="仿宋_GB2312" w:eastAsia="仿宋_GB2312" w:cs="仿宋_GB2312"/>
          <w:color w:val="auto"/>
          <w:kern w:val="32"/>
          <w:position w:val="-14"/>
          <w:sz w:val="28"/>
          <w:szCs w:val="28"/>
          <w:lang w:val="en-US" w:eastAsia="zh-CN" w:bidi="ar-SA"/>
        </w:rPr>
        <w:object>
          <v:shape id="_x0000_i1031" o:spt="75" type="#_x0000_t75" style="height:20.25pt;width:30pt;" o:ole="t" filled="f" o:preferrelative="t" stroked="f" coordsize="21600,21600">
            <v:path/>
            <v:fill on="f" focussize="0,0"/>
            <v:stroke on="f" joinstyle="miter"/>
            <v:imagedata r:id="rId62" o:title=""/>
            <o:lock v:ext="edit" aspectratio="t"/>
            <w10:wrap type="none"/>
            <w10:anchorlock/>
          </v:shape>
          <o:OLEObject Type="Embed" ProgID="Equation.3" ShapeID="_x0000_i1031" DrawAspect="Content" ObjectID="_1468075731" r:id="rId61">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②挖填方量计算</w: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挖方量</w:t>
      </w:r>
      <w:r>
        <w:rPr>
          <w:rFonts w:hint="eastAsia" w:ascii="仿宋_GB2312" w:hAnsi="仿宋_GB2312" w:eastAsia="仿宋_GB2312" w:cs="仿宋_GB2312"/>
          <w:color w:val="auto"/>
          <w:kern w:val="32"/>
          <w:position w:val="-14"/>
          <w:sz w:val="28"/>
          <w:szCs w:val="28"/>
        </w:rPr>
        <w:object>
          <v:shape id="_x0000_i1032" o:spt="75" type="#_x0000_t75" style="height:20.25pt;width:111.75pt;" o:ole="t" filled="f" o:preferrelative="t" stroked="f" coordsize="21600,21600">
            <v:path/>
            <v:fill on="f" focussize="0,0"/>
            <v:stroke on="f" joinstyle="miter"/>
            <v:imagedata r:id="rId64" o:title=""/>
            <o:lock v:ext="edit" aspectratio="t"/>
            <w10:wrap type="none"/>
            <w10:anchorlock/>
          </v:shape>
          <o:OLEObject Type="Embed" ProgID="Equation.3" ShapeID="_x0000_i1032" DrawAspect="Content" ObjectID="_1468075732" r:id="rId63">
            <o:LockedField>false</o:LockedField>
          </o:OLEObject>
        </w:objec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填方量</w:t>
      </w:r>
      <w:r>
        <w:rPr>
          <w:rFonts w:hint="eastAsia" w:ascii="仿宋_GB2312" w:hAnsi="仿宋_GB2312" w:eastAsia="仿宋_GB2312" w:cs="仿宋_GB2312"/>
          <w:color w:val="auto"/>
          <w:kern w:val="32"/>
          <w:position w:val="-14"/>
          <w:sz w:val="28"/>
          <w:szCs w:val="28"/>
        </w:rPr>
        <w:object>
          <v:shape id="_x0000_i1033" o:spt="75" type="#_x0000_t75" style="height:20.25pt;width:110.25pt;" o:ole="t" filled="f" o:preferrelative="t" stroked="f" coordsize="21600,21600">
            <v:path/>
            <v:fill on="f" focussize="0,0"/>
            <v:stroke on="f" joinstyle="miter"/>
            <v:imagedata r:id="rId66" o:title=""/>
            <o:lock v:ext="edit" aspectratio="t"/>
            <w10:wrap type="none"/>
            <w10:anchorlock/>
          </v:shape>
          <o:OLEObject Type="Embed" ProgID="Equation.3" ShapeID="_x0000_i1033" DrawAspect="Content" ObjectID="_1468075733" r:id="rId6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经计算，平整区田块面积698亩，土地平整需调入土方0.47万方，调出土方1.45万方，多余土料0.98万方用于平整区内新修机耕道路。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2）田块田面设计高程的确定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土地平整田面设计高程设计考虑到以下几个方面：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①土地平整田面设计高程主要考虑田块内部土方挖填平衡，通过加权平均法计算确定。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②根据田间灌排要求，对部分田面设计高程进行适当调整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（3）田块设计高程、土地平整土方量确定计算示例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根据项目区地貌特征及土地开发整理标准，规划设计深度至格田，以格田为土地平整单元确定设计高程与土方量。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为了保护项目区内土壤耕作层表土，规划对项目区内的表土进行剥离。表土剥离的具体设计为：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对原有耕地才进行表土剥离回填，而原有非耕地（如荒草地）无须进行表土剥离回填。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对于平均挖填厚度≤30cm的耕作田块不做表土剥离回填，挖填厚度＞30cm的耕作田块需做表土剥离回填。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土壤表土层剥离回填厚度设计为30cm。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（5）田埂设计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）其他工程设计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4" w:name="_Toc45723036"/>
      <w:r>
        <w:rPr>
          <w:rFonts w:hint="eastAsia" w:ascii="黑体" w:hAnsi="黑体" w:eastAsia="黑体" w:cs="黑体"/>
          <w:b w:val="0"/>
          <w:bCs w:val="0"/>
          <w:color w:val="auto"/>
          <w:kern w:val="2"/>
          <w:sz w:val="28"/>
          <w:szCs w:val="28"/>
          <w:lang w:val="en-US" w:eastAsia="zh-CN" w:bidi="ar-SA"/>
        </w:rPr>
        <w:t>土壤改良工程</w:t>
      </w:r>
      <w:bookmarkEnd w:id="7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其中撒生石灰改良0.29万亩，施用商品有机肥0.1万亩，种植绿肥0.88万亩，深耕土壤0.7万亩。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5" w:name="_Toc45723037"/>
      <w:r>
        <w:rPr>
          <w:rFonts w:hint="eastAsia" w:ascii="黑体" w:hAnsi="黑体" w:eastAsia="黑体" w:cs="黑体"/>
          <w:b w:val="0"/>
          <w:bCs w:val="0"/>
          <w:color w:val="auto"/>
          <w:kern w:val="2"/>
          <w:sz w:val="28"/>
          <w:szCs w:val="28"/>
          <w:lang w:val="en-US" w:eastAsia="zh-CN" w:bidi="ar-SA"/>
        </w:rPr>
        <w:t>水源工程设计</w:t>
      </w:r>
      <w:bookmarkEnd w:id="7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（1）上游防渗护砌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（2）下游培坡、导渗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下游按1：2削坡，现状坡比陡于1：2的塘堤采用透水性好的土料培厚下游坡，坡面植草皮，坡脚设简单干砌石导滤体。填平补齐项目一般不处理外坡。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（3）溢洪道衬砌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（4）输水涵管、卧管拆除重做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（5）台阶：选择塘坝上游合适处设置台阶，台阶坡比为1:2.0，采用现浇C20砼成型，单级台阶高0.15m，横向宽1.8m，纵向宽0.3m，两侧设置0.2m厚台阶缘石。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（6）坝顶：复核坝顶安全超高，坝顶宽度4.0m，盖面3.0m宽，材料采用0.1m厚泥结碎石，两侧0.5m宽植草皮。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（7）清淤：对于淤积严重，群众有要求的堰塘清淤0.4～1.0m左右，淤泥的透水系数低，淤泥不全部清除防止清淤后导致的渗漏。对于堰塘清淤产生的淤泥在翻晒晾干后，用于村庄低洼地带的回填。</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本电灌站设计灌田300亩，按90%灌溉保证率计算。灌溉最大需水量在晚稻的泡田期，每亩田需水80m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，泡田期为10天。流量计算公式为：</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4" o:spt="75" type="#_x0000_t75" style="height:32.25pt;width:67.5pt;" o:ole="t" filled="f" o:preferrelative="t" stroked="f" coordsize="21600,21600">
            <v:path/>
            <v:fill on="f" focussize="0,0"/>
            <v:stroke on="f" joinstyle="miter"/>
            <v:imagedata r:id="rId68" o:title=""/>
            <o:lock v:ext="edit" aspectratio="t"/>
            <w10:wrap type="none"/>
            <w10:anchorlock/>
          </v:shape>
          <o:OLEObject Type="Embed" ProgID="Equation.DSMT4" ShapeID="_x0000_i1034" DrawAspect="Content" ObjectID="_1468075734" r:id="rId67">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其中Q—流量（m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m—第次灌水量，m=80m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A—灌田面积，300亩。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T—泡田期时间，取10天。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t—每昼夜抽水时间，取22小时。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η—灌溉水利用系数，电灌站取0.85。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计算得出：袁家塅电灌站灌溉流量Q=0.028m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/s（Q=100m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（2）扬程的确定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经过实地勘测和1/500地形图测量，水泵站进水设计水位44.70m，出水池设计水位59.8m，净扬程15.1m。水头损失按净扬程的20%估算得出H损=3.02m，设计总扬程：H=15.1+3.02=18.12m。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（3）泵型选择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en-US" w:bidi="ar-SA"/>
        </w:rPr>
      </w:pPr>
      <w:r>
        <w:rPr>
          <w:rFonts w:hint="default" w:ascii="Times New Roman" w:hAnsi="Times New Roman" w:eastAsia="黑体" w:cs="Times New Roman"/>
          <w:b w:val="0"/>
          <w:bCs/>
          <w:color w:val="auto"/>
          <w:kern w:val="32"/>
          <w:sz w:val="28"/>
          <w:szCs w:val="28"/>
          <w:lang w:val="en-US" w:eastAsia="en-US" w:bidi="ar-SA"/>
        </w:rPr>
        <w:t>表6.5</w:t>
      </w:r>
      <w:r>
        <w:rPr>
          <w:rFonts w:hint="default" w:ascii="Times New Roman" w:hAnsi="Times New Roman" w:eastAsia="黑体" w:cs="Times New Roman"/>
          <w:b w:val="0"/>
          <w:bCs/>
          <w:color w:val="auto"/>
          <w:kern w:val="32"/>
          <w:sz w:val="28"/>
          <w:szCs w:val="28"/>
          <w:lang w:val="en-US" w:eastAsia="zh-CN" w:bidi="ar-SA"/>
        </w:rPr>
        <w:t>-</w:t>
      </w:r>
      <w:r>
        <w:rPr>
          <w:rFonts w:hint="default" w:ascii="Times New Roman" w:hAnsi="Times New Roman" w:eastAsia="黑体" w:cs="Times New Roman"/>
          <w:b w:val="0"/>
          <w:bCs/>
          <w:color w:val="auto"/>
          <w:kern w:val="32"/>
          <w:sz w:val="28"/>
          <w:szCs w:val="28"/>
          <w:lang w:val="en-US" w:eastAsia="en-US" w:bidi="ar-SA"/>
        </w:rPr>
        <w:t>2  水泵性能参数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泵站名称</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型  号</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转数</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r/min</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m3/h</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扬程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效率</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η</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配套功率kw</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进口口径mm</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2980</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（4）吸水管管径的确定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根据《泵站设计规范》，离心泵或小口径轴流泵、混流泵的进水管道设计流速宜取1.5～2.0m/s，出水管道设计流速宜取2.0～3.0m/s。进水管径根据所选泵型确定，压力管管径计算采用经济流速法，公式如下：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5" o:spt="75" type="#_x0000_t75" style="height:34.5pt;width:73.5pt;" o:ole="t" filled="f" o:preferrelative="t" stroked="f" coordsize="21600,21600">
            <v:path/>
            <v:fill on="f" focussize="0,0"/>
            <v:stroke on="f" joinstyle="miter"/>
            <v:imagedata r:id="rId70" o:title=""/>
            <o:lock v:ext="edit" aspectratio="t"/>
            <w10:wrap type="none"/>
            <w10:anchorlock/>
          </v:shape>
          <o:OLEObject Type="Embed" ProgID="Equation.DSMT4" ShapeID="_x0000_i1035" DrawAspect="Content" ObjectID="_1468075735" r:id="rId69">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v—经济流速，取2.5m/s；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经计算得管道内径D=100.01mm，设计采用无缝钢管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（5）水泵安装高程确定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水泵安装高程按下式确定：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Za=Zs+[Hs]—10.09+Pa/r—Pv/r—hw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式中：Za——水泵安装高程（m）；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Zs——进水池最低水位（m）；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[Hs]——允许吸上真空高度（m）；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——允许汽蚀余量（m）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Pa/r ——不同海拔处的大气压力水头（m），见表6.5-3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Pv/r ——不同水温时的汽化压力水头（m），见表6.5-4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——进水管水头损失（m）按水头损失的20%估算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 ——泵进口断面处流速水头（m）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表6.5-3   不同海拔的当地大气压表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vertAlign w:val="superscript"/>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表6.5-4   不同水温时的汽化压力水头</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水温（℃）</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经计算，袁家塅电灌站水泵安装高程为Za=48.03m，原泵房处高程47.36，故改造泵站可选在原址不变。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（6）配套泵房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本项目拆除倒塌的原有泵房，原址新建泵房，建筑面积20m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。泵房充分考虑机电设备布置、安装、运行、检修及结构布置、通风和采光的要求。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（7）电气主接线设计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项目属一般提水灌溉站，短时停电对其影响不大，380V动力线路已架设至取水点。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（8）配电装置设计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新建电灌站主要工程特征详表6.5-5。</w:t>
      </w:r>
    </w:p>
    <w:p>
      <w:pPr>
        <w:keepNext w:val="0"/>
        <w:keepLines w:val="0"/>
        <w:pageBreakBefore w:val="0"/>
        <w:widowControl/>
        <w:kinsoku/>
        <w:wordWrap/>
        <w:overflowPunct/>
        <w:topLinePunct w:val="0"/>
        <w:autoSpaceDE/>
        <w:autoSpaceDN/>
        <w:bidi w:val="0"/>
        <w:adjustRightInd/>
        <w:snapToGrid/>
        <w:spacing w:line="240" w:lineRule="auto"/>
        <w:ind w:left="0" w:right="0" w:firstLine="0" w:firstLineChars="0"/>
        <w:jc w:val="left"/>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br w:type="page"/>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表6.5-5  袁家塅电灌站特征参数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电灌站名称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控灌面积(亩)</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设计流量(m³/h)</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设计净扬程(m)</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装机容量(kW)</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水泵型号</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电机型号</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18.02</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自带配套电机</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6" w:name="_Toc45723038"/>
      <w:r>
        <w:rPr>
          <w:rFonts w:hint="eastAsia" w:ascii="黑体" w:hAnsi="黑体" w:eastAsia="黑体" w:cs="黑体"/>
          <w:b w:val="0"/>
          <w:bCs w:val="0"/>
          <w:color w:val="auto"/>
          <w:kern w:val="2"/>
          <w:sz w:val="28"/>
          <w:szCs w:val="28"/>
          <w:lang w:val="en-US" w:eastAsia="zh-CN" w:bidi="ar-SA"/>
        </w:rPr>
        <w:t>灌溉与排水工程设计</w:t>
      </w:r>
      <w:bookmarkEnd w:id="7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灌排标准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（1）灌溉方式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本次设计的灌溉渠道按续灌设计。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（2）渠系布置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灌溉渠系在灌区规划及土地利用规划的基础上结合排水系统的规划合理布置。灌溉渠系主要根据地形、地质等条件布置，并尽量按照原有渠线规划。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（3）灌溉模数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取综合灌水率</w:t>
      </w:r>
      <w:r>
        <w:rPr>
          <w:rFonts w:hint="eastAsia" w:ascii="仿宋_GB2312" w:hAnsi="仿宋_GB2312" w:eastAsia="仿宋_GB2312" w:cs="仿宋_GB2312"/>
          <w:i/>
          <w:color w:val="auto"/>
          <w:sz w:val="28"/>
          <w:szCs w:val="28"/>
          <w:lang w:val="en-GB"/>
        </w:rPr>
        <w:t>q</w:t>
      </w:r>
      <w:r>
        <w:rPr>
          <w:rFonts w:hint="eastAsia" w:ascii="仿宋_GB2312" w:hAnsi="仿宋_GB2312" w:eastAsia="仿宋_GB2312" w:cs="仿宋_GB2312"/>
          <w:i/>
          <w:color w:val="auto"/>
          <w:sz w:val="28"/>
          <w:szCs w:val="28"/>
          <w:vertAlign w:val="subscript"/>
          <w:lang w:val="en-GB"/>
        </w:rPr>
        <w:t>设</w:t>
      </w:r>
      <w:r>
        <w:rPr>
          <w:rFonts w:hint="eastAsia" w:ascii="仿宋_GB2312" w:hAnsi="仿宋_GB2312" w:eastAsia="仿宋_GB2312" w:cs="仿宋_GB2312"/>
          <w:color w:val="auto"/>
          <w:sz w:val="28"/>
          <w:szCs w:val="28"/>
          <w:lang w:val="en-GB"/>
        </w:rPr>
        <w:t>=0.８m³/s•万亩。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（4）渠道设计流量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6" o:spt="75" type="#_x0000_t75" style="height:33pt;width:62.25pt;" o:ole="t" filled="f" o:preferrelative="t" stroked="f" coordsize="21600,21600">
            <v:path/>
            <v:fill on="f" focussize="0,0"/>
            <v:stroke on="f" joinstyle="miter"/>
            <v:imagedata r:id="rId77" o:title=""/>
            <o:lock v:ext="edit" aspectratio="t"/>
            <w10:wrap type="none"/>
            <w10:anchorlock/>
          </v:shape>
          <o:OLEObject Type="Embed" ProgID="Equation.DSMT4" ShapeID="_x0000_i1036" DrawAspect="Content" ObjectID="_1468075736" r:id="rId76">
            <o:LockedField>false</o:LockedField>
          </o:OLEObject>
        </w:object>
      </w:r>
      <w:r>
        <w:rPr>
          <w:rFonts w:hint="eastAsia" w:ascii="仿宋_GB2312" w:hAnsi="仿宋_GB2312" w:eastAsia="仿宋_GB2312" w:cs="仿宋_GB2312"/>
          <w:color w:val="auto"/>
          <w:position w:val="-28"/>
          <w:sz w:val="28"/>
          <w:szCs w:val="28"/>
        </w:rPr>
        <w:t xml:space="preserve">   </w:t>
      </w:r>
      <w:r>
        <w:rPr>
          <w:rFonts w:hint="eastAsia" w:ascii="仿宋_GB2312" w:hAnsi="仿宋_GB2312" w:eastAsia="仿宋_GB2312" w:cs="仿宋_GB2312"/>
          <w:color w:val="auto"/>
          <w:sz w:val="28"/>
          <w:szCs w:val="28"/>
        </w:rPr>
        <w:object>
          <v:shape id="_x0000_i1037" o:spt="75" type="#_x0000_t75" style="height:36pt;width:40.5pt;" o:ole="t" filled="f" o:preferrelative="t" stroked="f" coordsize="21600,21600">
            <v:path/>
            <v:fill on="f" focussize="0,0"/>
            <v:stroke on="f" joinstyle="miter"/>
            <v:imagedata r:id="rId79" o:title=""/>
            <o:lock v:ext="edit" aspectratio="t"/>
            <w10:wrap type="none"/>
            <w10:anchorlock/>
          </v:shape>
          <o:OLEObject Type="Embed" ProgID="Equation.DSMT4" ShapeID="_x0000_i1037" DrawAspect="Content" ObjectID="_1468075737" r:id="rId78">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续灌渠段设计毛流量，m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A</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渠段灌溉面积，万亩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η</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续灌渠道至田间的灌溉水利用系数，本项目灌区为小型灌区，灌系水利用系数一般为0.75～0.85，本次设计取0.8，田间水利用系数取0.95，灌溉水利用系数取0.76。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根据《灌溉与排水工程设计规范》（GB50288—99）的要求，续灌渠道的最小流量不宜小于设计流量的40%，取Qmin=0.4Q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；根据规范要求，结合本区域的实际情况，灌溉渠道流量</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color w:val="auto"/>
          <w:sz w:val="28"/>
          <w:szCs w:val="28"/>
        </w:rPr>
        <w:t>均不大于1m³/s，加大流量取值为</w:t>
      </w:r>
      <w:r>
        <w:rPr>
          <w:rFonts w:hint="eastAsia" w:ascii="仿宋_GB2312" w:hAnsi="仿宋_GB2312" w:eastAsia="仿宋_GB2312" w:cs="仿宋_GB2312"/>
          <w:color w:val="auto"/>
          <w:kern w:val="2"/>
          <w:sz w:val="28"/>
          <w:szCs w:val="28"/>
        </w:rPr>
        <w:t>：</w:t>
      </w:r>
      <w:r>
        <w:rPr>
          <w:rFonts w:hint="eastAsia" w:ascii="仿宋_GB2312" w:hAnsi="仿宋_GB2312" w:eastAsia="仿宋_GB2312" w:cs="仿宋_GB2312"/>
          <w:color w:val="auto"/>
          <w:sz w:val="28"/>
          <w:szCs w:val="28"/>
        </w:rPr>
        <w:t>Qmax=1.30Q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渠道设计流量计算结果见表6.6-1。</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渠道横断面设计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根据项目区农田灌溉渠道现状，结合项目区渠道硬化经验，本项目渠道主要采用梯形断面。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（1）渠道流量计算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各种渠道的横断面设计采用明渠均匀流公式进行计算，计算公式为：</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Q=AC</w:t>
      </w:r>
      <w:r>
        <w:rPr>
          <w:rFonts w:hint="eastAsia" w:ascii="仿宋_GB2312" w:hAnsi="仿宋_GB2312" w:eastAsia="仿宋_GB2312" w:cs="仿宋_GB2312"/>
          <w:color w:val="auto"/>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式中：Q——渠道计算流量（m3/s）；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A——渠道过水断面面积（m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R——水力半径，R=A/X，X为湿周；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C——谢才系数，采用公式</w:t>
      </w:r>
      <w:r>
        <w:rPr>
          <w:rFonts w:hint="eastAsia" w:ascii="仿宋_GB2312" w:hAnsi="仿宋_GB2312" w:eastAsia="仿宋_GB2312" w:cs="仿宋_GB2312"/>
          <w:color w:val="auto"/>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进行计算；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n——渠床糙率，糙率根据渠道材质选取；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i——渠底比降。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（2）试算确定渠道横断面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渠道断面设计采用试算法，即首先假设底宽和水深值，计算过水断面的水力要素，然后计算渠道流量、校核渠道输水能力、校核渠道流速。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（3）渠道横断面各水力要素计算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经计算，渠道断面各水力要素计算结果，见表6.6-1。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为防止渠道冲刷和淤积，渠道过水断面平均流速必须介于容许不冲流速和允许不淤流速之间。根据《水工设计手册》，渠道流量小于1m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通过上表中的流速可知，校核渠道流速均可满足抗冲、抗淤要求。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本项目渠道均属于5级渠道，根据《灌溉与排水工程技术规范》（GB50288—2018），渠道衬砌安全超高值取0.10～0.20m。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综上所述，项目区灌溉渠道断面设计成果见表6.6-1，各类渠道横断面具体形式见设计图册。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（6）典型计算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GQ08由梯形明渠和暗涵组成，通过居民集中区或深挖方渠段埋暗管。现浇砼明渠基本尺寸：底宽b=0.5m，深h=0.9m，坡比m=1：0.5，设计纵坡i=1/1500；暗涵采用φ800预制砼涵管，设计纵坡i=1/500。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1）明渠复核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根据计算公式：Q=AC，代入假定参数计算：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过水断面：A＝（b+h×m）×h＝（0.50+0.70×0.5）×0.70＝0.6m</w:t>
      </w:r>
      <w:r>
        <w:rPr>
          <w:rFonts w:hint="eastAsia" w:ascii="仿宋_GB2312" w:hAnsi="仿宋_GB2312" w:eastAsia="仿宋_GB2312" w:cs="仿宋_GB2312"/>
          <w:color w:val="auto"/>
          <w:sz w:val="28"/>
          <w:szCs w:val="28"/>
          <w:vertAlign w:val="superscript"/>
        </w:rPr>
        <w:t>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湿周：X＝b+2*h＝0.50+2×0.70＝2.07m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水力半径：R＝A/X＝0.6/2.07＝0.29m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谢才系数：C＝1/0.014×(0.29）</w:t>
      </w:r>
      <w:r>
        <w:rPr>
          <w:rFonts w:hint="eastAsia" w:ascii="仿宋_GB2312" w:hAnsi="仿宋_GB2312" w:eastAsia="仿宋_GB2312" w:cs="仿宋_GB2312"/>
          <w:color w:val="auto"/>
          <w:sz w:val="28"/>
          <w:szCs w:val="28"/>
          <w:vertAlign w:val="superscript"/>
        </w:rPr>
        <w:t>1/6</w:t>
      </w:r>
      <w:r>
        <w:rPr>
          <w:rFonts w:hint="eastAsia" w:ascii="仿宋_GB2312" w:hAnsi="仿宋_GB2312" w:eastAsia="仿宋_GB2312" w:cs="仿宋_GB2312"/>
          <w:color w:val="auto"/>
          <w:sz w:val="28"/>
          <w:szCs w:val="28"/>
        </w:rPr>
        <w:t>＝58.05m</w:t>
      </w:r>
      <w:r>
        <w:rPr>
          <w:rFonts w:hint="eastAsia" w:ascii="仿宋_GB2312" w:hAnsi="仿宋_GB2312" w:eastAsia="仿宋_GB2312" w:cs="仿宋_GB2312"/>
          <w:color w:val="auto"/>
          <w:sz w:val="28"/>
          <w:szCs w:val="28"/>
          <w:vertAlign w:val="superscript"/>
        </w:rPr>
        <w:t>0.5</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计算流量：Q＝AC＝0.60×58.05×(0.29×0.0067)</w:t>
      </w:r>
      <w:r>
        <w:rPr>
          <w:rFonts w:hint="eastAsia" w:ascii="仿宋_GB2312" w:hAnsi="仿宋_GB2312" w:eastAsia="仿宋_GB2312" w:cs="仿宋_GB2312"/>
          <w:color w:val="auto"/>
          <w:sz w:val="28"/>
          <w:szCs w:val="28"/>
          <w:vertAlign w:val="superscript"/>
        </w:rPr>
        <w:t>1/2</w:t>
      </w:r>
      <w:r>
        <w:rPr>
          <w:rFonts w:hint="eastAsia" w:ascii="仿宋_GB2312" w:hAnsi="仿宋_GB2312" w:eastAsia="仿宋_GB2312" w:cs="仿宋_GB2312"/>
          <w:color w:val="auto"/>
          <w:sz w:val="28"/>
          <w:szCs w:val="28"/>
        </w:rPr>
        <w:t>＝0.48m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第二步：判断计算流量能满足设计流量要求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(计算流量-设计流量)/设计流量＝(0.48-0.205)/0.205×100%＝1.33％&lt;5%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可见，选定断面在计算流量上能满足设计要求。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第三步：流速较核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V＝Q/A＝0.48/0.60＝0.8m/s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故，0.35＝V不淤&lt;V&lt;V不冲＝5.0设计流速满足不冲不淤的要求。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第四步：安全超高取值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本项目渠道均属于5级渠道，根据《灌溉与排水工程技术规范》（GB50288—99），渠道衬砌安全超高值取0.1～0.2m。灌水渠QG08安全超高取值0.20m。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因此，灌水渠深度为：H＝0.70+0.20=0.90m，该渠道尺寸确定为0.9m×0.5 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2）暗涵复核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第一步：计算暗涵水深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/s时，涵洞水深h=0.58m。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第二步：复核暗涵净空要求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当进口净高≤3.0m时，无压涵洞水面以上净空要求≥D/4，即0.2m，满足要求。</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渠道衬砌工程设计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bookmarkEnd w:id="73"/>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7" w:name="_Toc45723039"/>
      <w:r>
        <w:rPr>
          <w:rFonts w:hint="eastAsia" w:ascii="黑体" w:hAnsi="黑体" w:eastAsia="黑体" w:cs="黑体"/>
          <w:b w:val="0"/>
          <w:bCs w:val="0"/>
          <w:color w:val="auto"/>
          <w:kern w:val="2"/>
          <w:sz w:val="28"/>
          <w:szCs w:val="28"/>
          <w:lang w:val="en-US" w:eastAsia="zh-CN" w:bidi="ar-SA"/>
        </w:rPr>
        <w:t>排水工程设计</w:t>
      </w:r>
      <w:bookmarkEnd w:id="77"/>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（1）排水设计标准</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项目区排水设计暴雨重现期采用5a～10a一遇，水田3d暴雨5d排至作物耐淹水深。</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（2）设计排水模数</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项目区田间排水采用平均排除法计算：</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=（P-h</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-ET’-F）/（86.4T）</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式中：h1——水田滞水深，取50mm</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P——10年一遇3d暴雨，设计暴雨量280mm</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ET——1d水田蒸发量，4mm</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F——1d水田渗漏量，5mm</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T——设计排水历时，3d</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——设计排水模数，m³/（s．km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经测算，项目区设计排涝模数取q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（3）排水沟设计流量</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田间排水沟设计流量的推算公式：</w:t>
      </w:r>
    </w:p>
    <w:p>
      <w:pPr>
        <w:keepNext w:val="0"/>
        <w:keepLines w:val="0"/>
        <w:pageBreakBefore w:val="0"/>
        <w:widowControl w:val="0"/>
        <w:kinsoku/>
        <w:wordWrap/>
        <w:overflowPunct/>
        <w:topLinePunct w:val="0"/>
        <w:autoSpaceDE/>
        <w:autoSpaceDN/>
        <w:bidi w:val="0"/>
        <w:adjustRightInd w:val="0"/>
        <w:snapToGrid w:val="0"/>
        <w:spacing w:line="50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F</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——排水沟设计流量(m³/s)；</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)，根据前面分析为0.853m³/(s·km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F——排水沟控制面积，km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（4）排水沟横断面设计</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排水沟横断面采用明渠均匀流公式进行计算，公式同渠道水力计算公式。断面选择过程与渠道采用试算法。</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（5）排水沟允许不冲不淤流速</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渠道流速满足V</w:t>
      </w:r>
      <w:r>
        <w:rPr>
          <w:rFonts w:hint="eastAsia" w:ascii="仿宋_GB2312" w:hAnsi="仿宋_GB2312" w:eastAsia="仿宋_GB2312" w:cs="仿宋_GB2312"/>
          <w:color w:val="auto"/>
          <w:sz w:val="28"/>
          <w:szCs w:val="28"/>
          <w:vertAlign w:val="subscript"/>
        </w:rPr>
        <w:t>不淤</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不冲要求</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（6）排水渠（沟）设计方案说明</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firstLineChars="200"/>
        <w:jc w:val="both"/>
        <w:textAlignment w:val="auto"/>
        <w:rPr>
          <w:rFonts w:ascii="Times New Roman" w:hAnsi="Times New Roman" w:eastAsia="宋体" w:cs="Times New Roman"/>
          <w:color w:val="auto"/>
          <w:sz w:val="28"/>
          <w:szCs w:val="28"/>
        </w:rPr>
      </w:pPr>
      <w:r>
        <w:rPr>
          <w:rFonts w:hint="eastAsia" w:ascii="仿宋_GB2312" w:hAnsi="仿宋_GB2312" w:eastAsia="仿宋_GB2312" w:cs="仿宋_GB2312"/>
          <w:color w:val="auto"/>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keepNext w:val="0"/>
        <w:keepLines w:val="0"/>
        <w:pageBreakBefore w:val="0"/>
        <w:widowControl w:val="0"/>
        <w:kinsoku/>
        <w:wordWrap/>
        <w:overflowPunct/>
        <w:topLinePunct w:val="0"/>
        <w:autoSpaceDE/>
        <w:autoSpaceDN/>
        <w:bidi w:val="0"/>
        <w:adjustRightInd w:val="0"/>
        <w:snapToGrid w:val="0"/>
        <w:spacing w:line="500" w:lineRule="exact"/>
        <w:ind w:left="0" w:right="0" w:firstLine="560"/>
        <w:jc w:val="both"/>
        <w:rPr>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outlineLvl w:val="1"/>
        <w:rPr>
          <w:rFonts w:hint="eastAsia" w:ascii="黑体" w:hAnsi="黑体" w:eastAsia="黑体" w:cs="黑体"/>
          <w:b w:val="0"/>
          <w:bCs w:val="0"/>
          <w:color w:val="auto"/>
          <w:kern w:val="2"/>
          <w:sz w:val="28"/>
          <w:szCs w:val="28"/>
          <w:lang w:val="en-US" w:eastAsia="zh-CN" w:bidi="ar-SA"/>
        </w:rPr>
      </w:pPr>
      <w:bookmarkStart w:id="78" w:name="_Toc45723040"/>
      <w:r>
        <w:rPr>
          <w:rFonts w:hint="eastAsia" w:ascii="黑体" w:hAnsi="黑体" w:eastAsia="黑体" w:cs="黑体"/>
          <w:b w:val="0"/>
          <w:bCs w:val="0"/>
          <w:color w:val="auto"/>
          <w:kern w:val="2"/>
          <w:sz w:val="28"/>
          <w:szCs w:val="28"/>
          <w:lang w:val="en-US" w:eastAsia="zh-CN" w:bidi="ar-SA"/>
        </w:rPr>
        <w:t>高效节水灌溉工程设计</w:t>
      </w:r>
      <w:bookmarkEnd w:id="7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本次项目高效节水选择在金坪村XX水库下游1000亩农田，采用低压管道灌溉模式，从沿村道北边布置的QG08取水，设7处取水口，铺设7条PE支管，南北方向平行布置。</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灌溉设计保证率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根据《农田低压管道输水灌溉工程技术规范》(GB/T 20203-2006)要求，低压管道灌溉设计保证率取90%。</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灌溉水利用系数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根据规范，管道系统水利用系数设计值为0.90，水稻灌区田间水利用设计值为0.95，低压管道灌溉系统灌溉水利用系数为0.86。</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粮食水分生产率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项目实施后，低压管道灌溉项目区农作物水分生产率要求达到1.8Kg/m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水力计算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QG17，总长1924m。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各管段所要通过的流量由最大一次灌水定额和所承担的灌溉面积确定，按下式计算。</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8" o:spt="75" type="#_x0000_t75" style="height:33.75pt;width:60.75pt;" o:ole="t" filled="f" o:preferrelative="t" stroked="f" coordsize="21600,21600">
            <v:path/>
            <v:fill on="f" focussize="0,0"/>
            <v:stroke on="f" joinstyle="miter"/>
            <v:imagedata r:id="rId83" o:title=""/>
            <o:lock v:ext="edit" aspectratio="t"/>
            <w10:wrap type="none"/>
            <w10:anchorlock/>
          </v:shape>
          <o:OLEObject Type="Embed" ProgID="Equation.DSMT4" ShapeID="_x0000_i1038" DrawAspect="Content" ObjectID="_1468075738" r:id="rId82">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0</w:t>
      </w:r>
      <w:r>
        <w:rPr>
          <w:rFonts w:hint="eastAsia" w:ascii="仿宋_GB2312" w:hAnsi="仿宋_GB2312" w:eastAsia="仿宋_GB2312" w:cs="仿宋_GB2312"/>
          <w:color w:val="auto"/>
          <w:sz w:val="28"/>
          <w:szCs w:val="28"/>
        </w:rPr>
        <w:t>——管灌系统的灌溉设计流量，m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α——作物种植比例，取1.0；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m——最大一次灌水定额，取泡田定额，80m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A——管道控制灌溉面积，亩；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1</w:t>
      </w: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2</w:t>
      </w:r>
      <w:r>
        <w:rPr>
          <w:rFonts w:hint="eastAsia" w:ascii="仿宋_GB2312" w:hAnsi="仿宋_GB2312" w:eastAsia="仿宋_GB2312" w:cs="仿宋_GB2312"/>
          <w:color w:val="auto"/>
          <w:kern w:val="2"/>
          <w:sz w:val="28"/>
          <w:szCs w:val="28"/>
          <w:lang w:val="en-US" w:eastAsia="zh-CN" w:bidi="ar-SA"/>
        </w:rPr>
        <w:t>——管道、田间灌溉水利用系数，取0.90和0.97；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T——灌溉天数，取10天；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t——每昼夜工作时间，取16h；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（2）管径计算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项目区水田灌溉采用PE管，其管道内水流速宜采用1.0～1.5m/s为宜，本次设计主管取v=1.5m/s，分干管取v=1.5m/s，设计管径采用经济管径计算公式：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9" o:spt="75" type="#_x0000_t75" style="height:35.25pt;width:73.5pt;" o:ole="t" filled="f" o:preferrelative="t" stroked="f" coordsize="21600,21600">
            <v:path/>
            <v:fill on="f" focussize="0,0"/>
            <v:stroke on="f" joinstyle="miter"/>
            <v:imagedata r:id="rId70" o:title=""/>
            <o:lock v:ext="edit" aspectratio="t"/>
            <w10:wrap type="none"/>
            <w10:anchorlock/>
          </v:shape>
          <o:OLEObject Type="Embed" ProgID="Equation.DSMT4" ShapeID="_x0000_i1039" DrawAspect="Content" ObjectID="_1468075739" r:id="rId84">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（3）干管水头损失计算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干支管水头损失计算采用公式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40" o:spt="75" type="#_x0000_t75" style="height:33.75pt;width:70.5pt;" o:ole="t" filled="f" o:preferrelative="t" stroked="f" coordsize="21600,21600">
            <v:path/>
            <v:fill on="f" focussize="0,0"/>
            <v:stroke on="f" joinstyle="miter"/>
            <v:imagedata r:id="rId86" o:title=""/>
            <o:lock v:ext="edit" aspectratio="t"/>
            <w10:wrap type="none"/>
            <w10:anchorlock/>
          </v:shape>
          <o:OLEObject Type="Embed" ProgID="Equation.DSMT4" ShapeID="_x0000_i1040" DrawAspect="Content" ObjectID="_1468075740" r:id="rId8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式中：f——管材摩阻系数，选取PE管材，则f =0.000915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m——流量指数，取1.77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d——管道内径,mm</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L——管道长度,m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b——管径指数，取4.77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各种管材的f、m、b值，可按表6.8-2取用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表6.8-2  不同管材摩阻系数、流量指数、管径指数值表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管材类别</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管材摩阻系数f</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流量指数m</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塑料管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 948×105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1.77</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石棉水泥管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455×105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混凝土管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516×106</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旧钢管、旧铸铁管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 25×105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局部水头损失一般取沿程水头损失的10%--15%,本次设计取10%。因管道较短，不考虑根据流量变径。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9" w:name="_Toc45723041"/>
      <w:r>
        <w:rPr>
          <w:rFonts w:hint="eastAsia" w:ascii="黑体" w:hAnsi="黑体" w:eastAsia="黑体" w:cs="黑体"/>
          <w:b w:val="0"/>
          <w:bCs w:val="0"/>
          <w:color w:val="auto"/>
          <w:kern w:val="2"/>
          <w:sz w:val="28"/>
          <w:szCs w:val="28"/>
          <w:lang w:val="en-US" w:eastAsia="zh-CN" w:bidi="ar-SA"/>
        </w:rPr>
        <w:t>渠系建筑物设计</w:t>
      </w:r>
      <w:bookmarkEnd w:id="7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（1）人行桥、机耕桥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机耕桥桥板厚为20cm，桥面宽3.0m，跨度视沟渠宽而定。每座机耕桥处都要用浆砌石做其支撑结构，顶部采用C20砼现浇台帽，在靠近桥面板下侧配置相应的分布筋和受力筋，上表侧配置构造筋。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（2）简易闸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项目区内节制闸规模小，数量多，设计采用简易闸。节制闸段采用C20砼现浇，顺水流方向0.2m，垂直方向1.0m，预埋10#槽钢做门槽，闸门用成品钢闸门。详见附图。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（3）进出水口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项目区灌排渠道为满足田间灌溉，利于水流控制，在渠道适当位置设置进出水口，进出水口采用φ200预制砼圆涵，进口或出口设DN200拍门，详见设计图册。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（4）取水码头和生物通道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为了方便农民到渠道中取水或生活便民，根据渠道的深度、长度和实际地形来设置，生物通道可以结合取水码头一起布置，详见设计图册。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（5）预制涵管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项目区交叉建筑物的预制涵管的布置，底部需要设0.2m厚的砼垫层。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0" w:name="_Toc45723042"/>
      <w:r>
        <w:rPr>
          <w:rFonts w:hint="eastAsia" w:ascii="黑体" w:hAnsi="黑体" w:eastAsia="黑体" w:cs="黑体"/>
          <w:b w:val="0"/>
          <w:bCs w:val="0"/>
          <w:color w:val="auto"/>
          <w:kern w:val="2"/>
          <w:sz w:val="28"/>
          <w:szCs w:val="28"/>
          <w:lang w:val="en-US" w:eastAsia="zh-CN" w:bidi="ar-SA"/>
        </w:rPr>
        <w:t>道路设计</w:t>
      </w:r>
      <w:bookmarkEnd w:id="8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（1）在满足技术标准和行车安全的前提下，尽量不破坏原有地形、地貌，以维护原有的自然环境和景色。</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（2）田间道路线路以沿原道路或项目规划改造的沟渠布设为主，既方便工程施工，满足田间生产的需求，又节约了耕地资源。</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根据《机耕道通用技术条件》（</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省地方标准DB43/T580-2010)及现有道路交通情况，本次设计拟采用田间道路-I级，设计行车速度20k m/h。</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路面充分考虑沿线气候、水文条件，遵循因地制宜，就地取材，方便施工，利于养护，经济合理的原则，结合环境治理要求进行设计。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本次规划机耕路均采用0.15m厚泥结石路面，路面泥结石所用石料，底层粒径采用1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2cm或2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3cm的卵石，面层粒径采用3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4cm的卵石，泥结石层所用土料，塑性指数以12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15为宜，粘土内不得含腐殖质或其他杂物，按土：石（30：70）的比例（重量比），路面横坡3%，素土路肩横坡4%，路基和路面压实度≥92%，面层15mm厚黑色碎石磨耗层。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（3）其他设施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1）坡口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bookmarkStart w:id="81" w:name="_Toc436127847"/>
      <w:r>
        <w:rPr>
          <w:rFonts w:hint="eastAsia" w:ascii="仿宋_GB2312" w:hAnsi="仿宋_GB2312" w:eastAsia="仿宋_GB2312" w:cs="仿宋_GB2312"/>
          <w:color w:val="auto"/>
          <w:sz w:val="28"/>
          <w:szCs w:val="28"/>
        </w:rPr>
        <w:t>2）错车道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根据需要设置错车道，错车道的间距可结合地形、视距等条件确定，设置错车道路段的路基宽度不小于6m，有效长度应不小于15m。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2" w:name="_Toc14854214"/>
      <w:bookmarkStart w:id="83" w:name="_Toc45723043"/>
      <w:r>
        <w:rPr>
          <w:rFonts w:hint="eastAsia" w:ascii="黑体" w:hAnsi="黑体" w:eastAsia="黑体" w:cs="黑体"/>
          <w:b w:val="0"/>
          <w:bCs w:val="0"/>
          <w:color w:val="auto"/>
          <w:kern w:val="2"/>
          <w:sz w:val="28"/>
          <w:szCs w:val="28"/>
          <w:lang w:val="en-US" w:eastAsia="zh-CN" w:bidi="ar-SA"/>
        </w:rPr>
        <w:t>农田防护与生态环境保持工程设计</w:t>
      </w:r>
      <w:bookmarkEnd w:id="81"/>
      <w:bookmarkEnd w:id="82"/>
      <w:bookmarkEnd w:id="8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（2）农田防护林应依据风害程度及田埂、机耕路和岸坡条件确定，护岸、护坡、挡土墙等防护工程应依据地形、边坡地质条件确定，并与生态景观相适应。</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（3）农田防护林应以乡土树种为主，符合根深冠窄、抗逆性强的要求，兼顾防护、经济、美化和观赏等方面的要求。风沙地、水湿地区的树种应分别具有相应的抗性。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（5）禁止将不符合农用标准和环境保护标准的固体废物、废水施入农田。施用农药、化肥等农业投入品及进行灌溉时，应当采取措施，防止重金属和其他有毒有害物质污染环境。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（1）建设区内的林地、林木及具有独特自然特征的景观予以保留，尽量做到不砍树、少填塘。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（2）山塘加固、新修机耕路、沟渠改造等工程措施后裸露的地面均采取人工植草皮的措施进行绿化。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（3）推进人居环境整治和配套，在项目区居民集中区附近改造的堰塘、沟渠植树绿化进一步完善生态环境。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1" w:type="first"/>
          <w:footerReference r:id="rId23" w:type="first"/>
          <w:headerReference r:id="rId20" w:type="even"/>
          <w:footerReference r:id="rId22"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420" w:lineRule="exact"/>
        <w:ind w:leftChars="0" w:right="0" w:rightChars="0"/>
        <w:jc w:val="center"/>
        <w:rPr>
          <w:rFonts w:hint="eastAsia" w:ascii="方正小标宋简体" w:hAnsi="方正小标宋简体" w:eastAsia="方正小标宋简体" w:cs="方正小标宋简体"/>
          <w:b w:val="0"/>
          <w:bCs w:val="0"/>
          <w:color w:val="auto"/>
          <w:sz w:val="36"/>
          <w:szCs w:val="36"/>
        </w:rPr>
      </w:pPr>
      <w:bookmarkStart w:id="84" w:name="_Toc45723044"/>
      <w:bookmarkStart w:id="85" w:name="_Toc187682041"/>
      <w:bookmarkStart w:id="86" w:name="_Toc14854215"/>
      <w:r>
        <w:rPr>
          <w:rFonts w:hint="eastAsia" w:ascii="方正小标宋简体" w:hAnsi="方正小标宋简体" w:eastAsia="方正小标宋简体" w:cs="方正小标宋简体"/>
          <w:b w:val="0"/>
          <w:bCs w:val="0"/>
          <w:color w:val="auto"/>
          <w:sz w:val="36"/>
          <w:szCs w:val="36"/>
        </w:rPr>
        <w:t>施工组织设计</w:t>
      </w:r>
      <w:bookmarkEnd w:id="84"/>
      <w:bookmarkEnd w:id="85"/>
      <w:bookmarkEnd w:id="8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7" w:name="_Toc45723045"/>
      <w:bookmarkStart w:id="88" w:name="_Toc14854216"/>
      <w:r>
        <w:rPr>
          <w:rFonts w:hint="eastAsia" w:ascii="黑体" w:hAnsi="黑体" w:eastAsia="黑体" w:cs="黑体"/>
          <w:b w:val="0"/>
          <w:bCs w:val="0"/>
          <w:color w:val="auto"/>
          <w:kern w:val="2"/>
          <w:sz w:val="28"/>
          <w:szCs w:val="28"/>
          <w:lang w:val="en-US" w:eastAsia="zh-CN" w:bidi="ar-SA"/>
        </w:rPr>
        <w:t>施工条件</w:t>
      </w:r>
      <w:bookmarkEnd w:id="87"/>
      <w:bookmarkEnd w:id="8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89" w:name="_Toc437978810"/>
      <w:bookmarkStart w:id="90" w:name="_Toc173792593"/>
      <w:bookmarkStart w:id="91" w:name="_Toc408220699"/>
      <w:bookmarkStart w:id="92" w:name="_Toc330374716"/>
      <w:r>
        <w:rPr>
          <w:rFonts w:hint="eastAsia" w:ascii="仿宋_GB2312" w:hAnsi="仿宋_GB2312" w:eastAsia="仿宋_GB2312" w:cs="仿宋_GB2312"/>
          <w:b/>
          <w:bCs/>
          <w:color w:val="auto"/>
          <w:kern w:val="2"/>
          <w:sz w:val="28"/>
          <w:szCs w:val="28"/>
          <w:lang w:val="en-US" w:eastAsia="zh-CN" w:bidi="ar-SA"/>
        </w:rPr>
        <w:t>交通设施</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XX县高标准农田建设项目，统筹规划田、水、路、林等高标准农田的相关建设内容，</w:t>
      </w:r>
      <w:r>
        <w:rPr>
          <w:rFonts w:hint="eastAsia" w:ascii="仿宋_GB2312" w:hAnsi="仿宋_GB2312" w:eastAsia="仿宋_GB2312" w:cs="仿宋_GB2312"/>
          <w:color w:val="auto"/>
          <w:sz w:val="28"/>
          <w:szCs w:val="28"/>
        </w:rPr>
        <w:t>实施地点位于该县XX镇的毛家岗、XX、黄林堰村、XX镇的清泉村、XX镇的金坪村共5个村。从项目区到县城仅需15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20分钟车程，对外交通便利，施工设备及各类建材可通过公路、乡村道路直达施工场地。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3" w:name="_Toc173792594"/>
      <w:bookmarkStart w:id="94" w:name="_Toc408220700"/>
      <w:bookmarkStart w:id="95" w:name="_Toc437978811"/>
      <w:bookmarkStart w:id="96" w:name="_Toc330374717"/>
      <w:r>
        <w:rPr>
          <w:rFonts w:hint="eastAsia" w:ascii="仿宋_GB2312" w:hAnsi="仿宋_GB2312" w:eastAsia="仿宋_GB2312" w:cs="仿宋_GB2312"/>
          <w:b/>
          <w:bCs/>
          <w:color w:val="auto"/>
          <w:kern w:val="2"/>
          <w:sz w:val="28"/>
          <w:szCs w:val="28"/>
          <w:lang w:val="en-US" w:eastAsia="zh-CN" w:bidi="ar-SA"/>
        </w:rPr>
        <w:t>施工场地</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该项目施工期间为农闲季节，大部分田地农作物已收割，故可利用渠道、道路两侧范围及少量田块作为施工场地。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7" w:name="_Toc173792595"/>
      <w:bookmarkStart w:id="98" w:name="_Toc437978812"/>
      <w:bookmarkStart w:id="99" w:name="_Toc408220701"/>
      <w:bookmarkStart w:id="100" w:name="_Toc330374718"/>
      <w:r>
        <w:rPr>
          <w:rFonts w:hint="eastAsia" w:ascii="仿宋_GB2312" w:hAnsi="仿宋_GB2312" w:eastAsia="仿宋_GB2312" w:cs="仿宋_GB2312"/>
          <w:b/>
          <w:bCs/>
          <w:color w:val="auto"/>
          <w:kern w:val="2"/>
          <w:sz w:val="28"/>
          <w:szCs w:val="28"/>
          <w:lang w:val="en-US" w:eastAsia="zh-CN" w:bidi="ar-SA"/>
        </w:rPr>
        <w:t>建筑材料供应</w:t>
      </w:r>
      <w:bookmarkEnd w:id="97"/>
      <w:bookmarkEnd w:id="98"/>
      <w:bookmarkEnd w:id="99"/>
      <w:bookmarkEnd w:id="10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水、电供应条件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施工用电可就近利用现有农网供电。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施工用水可直接从项目区河流、山塘或沟渠中抽取；生活用水取用农户自来水管网。</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施工准备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1" w:name="_Toc187682044"/>
      <w:bookmarkStart w:id="102" w:name="_Toc14854217"/>
      <w:bookmarkStart w:id="103" w:name="_Toc45723046"/>
      <w:r>
        <w:rPr>
          <w:rFonts w:hint="eastAsia" w:ascii="黑体" w:hAnsi="黑体" w:eastAsia="黑体" w:cs="黑体"/>
          <w:b w:val="0"/>
          <w:bCs w:val="0"/>
          <w:color w:val="auto"/>
          <w:kern w:val="2"/>
          <w:sz w:val="28"/>
          <w:szCs w:val="28"/>
          <w:lang w:val="en-US" w:eastAsia="zh-CN" w:bidi="ar-SA"/>
        </w:rPr>
        <w:t>施工</w:t>
      </w:r>
      <w:bookmarkEnd w:id="101"/>
      <w:r>
        <w:rPr>
          <w:rFonts w:hint="eastAsia" w:ascii="黑体" w:hAnsi="黑体" w:eastAsia="黑体" w:cs="黑体"/>
          <w:b w:val="0"/>
          <w:bCs w:val="0"/>
          <w:color w:val="auto"/>
          <w:kern w:val="2"/>
          <w:sz w:val="28"/>
          <w:szCs w:val="28"/>
          <w:lang w:val="en-US" w:eastAsia="zh-CN" w:bidi="ar-SA"/>
        </w:rPr>
        <w:t>总体布置</w:t>
      </w:r>
      <w:bookmarkEnd w:id="102"/>
      <w:bookmarkEnd w:id="10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根据项目布置特点以及项目地形情况，施工总布置以不干扰主体工程施工、有利生产、方便生活因地制宜、少占民房与耕地、就近取材的原则布置。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（1）主体工程施工区：项目区各片区堰塘、机耕道、排灌渠系、土地平整区。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（2）砂、石料开采区：由现有砂料场供应，不设独立开采区；土料在项目地附近或受益村组指定位置取土。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（3）施工场区：主要是砂石堆料场，一般可安排在施工区附近的旱地、闲地，随工程区的转移而转移。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（3）生活区：租用施工区附近的闲置民房。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4" w:name="_Toc14854220"/>
      <w:bookmarkStart w:id="105" w:name="_Toc45723048"/>
      <w:r>
        <w:rPr>
          <w:rFonts w:hint="eastAsia" w:ascii="黑体" w:hAnsi="黑体" w:eastAsia="黑体" w:cs="黑体"/>
          <w:b w:val="0"/>
          <w:bCs w:val="0"/>
          <w:color w:val="auto"/>
          <w:kern w:val="2"/>
          <w:sz w:val="28"/>
          <w:szCs w:val="28"/>
          <w:lang w:val="en-US" w:eastAsia="zh-CN" w:bidi="ar-SA"/>
        </w:rPr>
        <w:t>施工安全与隐蔽工程验收</w:t>
      </w:r>
      <w:bookmarkEnd w:id="104"/>
      <w:bookmarkEnd w:id="10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（1）项目施工应尽量减少大（重）型机械的使用，挖掘机等机械在电力架空线下作业时应保持规定的安全距离或采取安全措施。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（2）高标准农田建设涉及农桥、小型拦水坝、排水暗管、涵闸等的重要部位和隐蔽工程应在施工期间进行验收，并应在合格后再进入下一道工序施工。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6" w:name="_Toc45723049"/>
      <w:bookmarkStart w:id="107" w:name="_Toc436127856"/>
      <w:bookmarkStart w:id="108" w:name="_Toc14854221"/>
      <w:r>
        <w:rPr>
          <w:rFonts w:hint="eastAsia" w:ascii="黑体" w:hAnsi="黑体" w:eastAsia="黑体" w:cs="黑体"/>
          <w:b w:val="0"/>
          <w:bCs w:val="0"/>
          <w:color w:val="auto"/>
          <w:kern w:val="2"/>
          <w:sz w:val="28"/>
          <w:szCs w:val="28"/>
          <w:lang w:val="en-US" w:eastAsia="zh-CN" w:bidi="ar-SA"/>
        </w:rPr>
        <w:t>工程总进度计划</w:t>
      </w:r>
      <w:bookmarkEnd w:id="106"/>
      <w:bookmarkEnd w:id="107"/>
      <w:bookmarkEnd w:id="10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09" w:name="_Toc437978819"/>
      <w:bookmarkStart w:id="110" w:name="_Toc408220708"/>
      <w:bookmarkStart w:id="111" w:name="_Toc330374725"/>
      <w:bookmarkStart w:id="112" w:name="_Toc173792612"/>
      <w:r>
        <w:rPr>
          <w:rFonts w:hint="eastAsia" w:ascii="仿宋_GB2312" w:hAnsi="仿宋_GB2312" w:eastAsia="仿宋_GB2312" w:cs="仿宋_GB2312"/>
          <w:b/>
          <w:bCs/>
          <w:color w:val="auto"/>
          <w:kern w:val="2"/>
          <w:sz w:val="28"/>
          <w:szCs w:val="28"/>
          <w:lang w:val="en-US" w:eastAsia="zh-CN" w:bidi="ar-SA"/>
        </w:rPr>
        <w:t>施工总进度安排原则</w:t>
      </w:r>
      <w:bookmarkEnd w:id="109"/>
      <w:bookmarkEnd w:id="110"/>
      <w:bookmarkEnd w:id="111"/>
      <w:bookmarkEnd w:id="11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（1）严格执行基本建设程序，遵照国家政策法令和有关规程规范；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（2）依据工程特性和工程布置特点，将土地平整、沟渠及渠系建筑物等主要工程项目安排在非灌溉期、农闲季节施工。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（3）各项目施工前后兼顾，合理衔接，减少干扰，均衡施工，渠道（沟）上的建筑物应优先于渠沟施工；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（4）整个项目施工采用小型机械施工及人工施工为主。</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3" w:name="_Toc437978820"/>
      <w:r>
        <w:rPr>
          <w:rFonts w:hint="eastAsia" w:ascii="仿宋_GB2312" w:hAnsi="仿宋_GB2312" w:eastAsia="仿宋_GB2312" w:cs="仿宋_GB2312"/>
          <w:b/>
          <w:bCs/>
          <w:color w:val="auto"/>
          <w:kern w:val="2"/>
          <w:sz w:val="28"/>
          <w:szCs w:val="28"/>
          <w:lang w:val="en-US" w:eastAsia="zh-CN" w:bidi="ar-SA"/>
        </w:rPr>
        <w:t>实施进度计划</w:t>
      </w:r>
      <w:bookmarkEnd w:id="11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工程施工工期计划180天，具体时间202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8</w:t>
      </w:r>
      <w:r>
        <w:rPr>
          <w:rFonts w:hint="eastAsia" w:ascii="仿宋_GB2312" w:hAnsi="仿宋_GB2312" w:eastAsia="仿宋_GB2312" w:cs="仿宋_GB2312"/>
          <w:color w:val="auto"/>
          <w:sz w:val="28"/>
          <w:szCs w:val="28"/>
        </w:rPr>
        <w:t>月1日至202</w:t>
      </w:r>
      <w:r>
        <w:rPr>
          <w:rFonts w:hint="eastAsia" w:ascii="仿宋_GB2312" w:hAnsi="仿宋_GB2312" w:cs="仿宋_GB2312"/>
          <w:color w:val="auto"/>
          <w:sz w:val="28"/>
          <w:szCs w:val="28"/>
          <w:lang w:val="en-US" w:eastAsia="zh-CN"/>
        </w:rPr>
        <w:t>2</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val="en-US" w:eastAsia="zh-CN"/>
        </w:rPr>
        <w:t>12</w:t>
      </w:r>
      <w:r>
        <w:rPr>
          <w:rFonts w:hint="eastAsia" w:ascii="仿宋_GB2312" w:hAnsi="仿宋_GB2312" w:eastAsia="仿宋_GB2312" w:cs="仿宋_GB2312"/>
          <w:color w:val="auto"/>
          <w:sz w:val="28"/>
          <w:szCs w:val="28"/>
        </w:rPr>
        <w:t>月31日。</w:t>
      </w:r>
    </w:p>
    <w:p>
      <w:pPr>
        <w:adjustRightInd/>
        <w:snapToGrid/>
        <w:spacing w:line="240" w:lineRule="auto"/>
        <w:ind w:left="479" w:hanging="360" w:hangingChars="171"/>
        <w:jc w:val="center"/>
        <w:rPr>
          <w:rFonts w:ascii="仿宋" w:hAnsi="仿宋" w:eastAsia="仿宋" w:cs="Times New Roman"/>
          <w:b/>
          <w:color w:val="auto"/>
          <w:sz w:val="21"/>
          <w:szCs w:val="28"/>
        </w:rPr>
      </w:pPr>
    </w:p>
    <w:p>
      <w:pPr>
        <w:ind w:firstLine="560"/>
        <w:rPr>
          <w:color w:val="auto"/>
        </w:rPr>
        <w:sectPr>
          <w:headerReference r:id="rId24"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14" w:name="_Toc45723050"/>
      <w:bookmarkStart w:id="115" w:name="_Toc14521112"/>
      <w:bookmarkStart w:id="116" w:name="_Toc14854222"/>
      <w:r>
        <w:rPr>
          <w:rFonts w:hint="eastAsia" w:ascii="方正小标宋简体" w:hAnsi="方正小标宋简体" w:eastAsia="方正小标宋简体" w:cs="方正小标宋简体"/>
          <w:b w:val="0"/>
          <w:bCs w:val="0"/>
          <w:color w:val="auto"/>
          <w:sz w:val="36"/>
          <w:szCs w:val="36"/>
        </w:rPr>
        <w:t>建设用地与新增耕地</w:t>
      </w:r>
      <w:bookmarkEnd w:id="114"/>
      <w:bookmarkEnd w:id="115"/>
      <w:bookmarkEnd w:id="116"/>
    </w:p>
    <w:p>
      <w:pPr>
        <w:bidi w:val="0"/>
        <w:adjustRightInd/>
        <w:snapToGrid/>
        <w:spacing w:line="240" w:lineRule="auto"/>
        <w:ind w:firstLine="0" w:firstLineChars="0"/>
        <w:rPr>
          <w:rFonts w:hint="eastAsia" w:ascii="Times New Roman" w:hAnsi="Times New Roman" w:eastAsia="宋体" w:cs="Times New Roman"/>
          <w:sz w:val="21"/>
          <w:szCs w:val="22"/>
        </w:rPr>
      </w:pPr>
      <w:bookmarkStart w:id="117" w:name="_Toc14854223"/>
      <w:bookmarkStart w:id="118" w:name="_Toc45723051"/>
      <w:bookmarkStart w:id="119" w:name="_Toc1452111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工程占地</w:t>
      </w:r>
      <w:bookmarkEnd w:id="117"/>
      <w:bookmarkEnd w:id="118"/>
      <w:bookmarkEnd w:id="11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20" w:name="_Toc45723052"/>
      <w:bookmarkStart w:id="121" w:name="_Toc14854224"/>
      <w:bookmarkStart w:id="122" w:name="_Toc14259711"/>
      <w:bookmarkStart w:id="123" w:name="_Toc14521114"/>
      <w:r>
        <w:rPr>
          <w:rFonts w:hint="eastAsia" w:ascii="黑体" w:hAnsi="黑体" w:eastAsia="黑体" w:cs="黑体"/>
          <w:b w:val="0"/>
          <w:bCs w:val="0"/>
          <w:color w:val="auto"/>
          <w:kern w:val="2"/>
          <w:sz w:val="28"/>
          <w:szCs w:val="28"/>
          <w:lang w:val="en-US" w:eastAsia="zh-CN" w:bidi="ar-SA"/>
        </w:rPr>
        <w:t>新增耕地</w:t>
      </w:r>
      <w:bookmarkEnd w:id="120"/>
      <w:bookmarkEnd w:id="121"/>
      <w:bookmarkEnd w:id="122"/>
      <w:bookmarkEnd w:id="12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介绍新增耕地或提升耕地产能的具体地点、措施、结果等。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24" w:name="_Toc24376"/>
      <w:bookmarkStart w:id="125" w:name="_Toc45723064"/>
      <w:r>
        <w:rPr>
          <w:rFonts w:hint="eastAsia" w:ascii="方正小标宋简体" w:hAnsi="方正小标宋简体" w:eastAsia="方正小标宋简体" w:cs="方正小标宋简体"/>
          <w:b w:val="0"/>
          <w:bCs w:val="0"/>
          <w:color w:val="auto"/>
          <w:sz w:val="36"/>
          <w:szCs w:val="36"/>
        </w:rPr>
        <w:t>设计概算和资金筹措</w:t>
      </w:r>
      <w:bookmarkEnd w:id="124"/>
      <w:bookmarkEnd w:id="125"/>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26" w:name="_Toc11250288"/>
      <w:bookmarkStart w:id="127" w:name="_Toc45723065"/>
      <w:bookmarkStart w:id="128" w:name="_Toc3163"/>
      <w:r>
        <w:rPr>
          <w:rFonts w:hint="eastAsia" w:ascii="黑体" w:hAnsi="黑体" w:eastAsia="黑体" w:cs="黑体"/>
          <w:b w:val="0"/>
          <w:bCs w:val="0"/>
          <w:color w:val="auto"/>
          <w:kern w:val="2"/>
          <w:sz w:val="28"/>
          <w:szCs w:val="28"/>
          <w:lang w:val="en-US" w:eastAsia="zh-CN" w:bidi="ar-SA"/>
        </w:rPr>
        <w:t>概算依据</w:t>
      </w:r>
      <w:bookmarkEnd w:id="126"/>
      <w:bookmarkEnd w:id="127"/>
      <w:bookmarkEnd w:id="12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概算依据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（1）《水利水电工程设计工程量计算规定》（SL328-2005）；</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）XX县建设工程造价管理站文件《关于发布XX县二〇一九年第六期建设工程材料价格的通知》；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）项目设计图纸、工程量清单和设计说明等。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基础单价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（1）人工单价：工长11.30元/工时、高级工10.36元/工时、中级工8.52元/工时、初级工6.13元/工时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（3）水、电、风价格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bookmarkStart w:id="129" w:name="_Toc11250289"/>
      <w:r>
        <w:rPr>
          <w:rFonts w:hint="eastAsia" w:ascii="仿宋_GB2312" w:hAnsi="仿宋_GB2312" w:eastAsia="仿宋_GB2312" w:cs="仿宋_GB2312"/>
          <w:color w:val="auto"/>
          <w:sz w:val="28"/>
          <w:szCs w:val="28"/>
          <w:lang w:val="en-GB"/>
        </w:rPr>
        <w:t>施工用电价格为</w:t>
      </w:r>
      <w:r>
        <w:rPr>
          <w:rFonts w:hint="eastAsia" w:ascii="仿宋_GB2312" w:hAnsi="仿宋_GB2312" w:eastAsia="仿宋_GB2312" w:cs="仿宋_GB2312"/>
          <w:color w:val="auto"/>
          <w:sz w:val="28"/>
          <w:szCs w:val="28"/>
        </w:rPr>
        <w:t>0.70元/（kw.h），施工用水价格为1.17元/m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，施工用风价格0.24元/m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0" w:name="_Toc18976"/>
      <w:bookmarkStart w:id="131" w:name="_Toc45723066"/>
      <w:r>
        <w:rPr>
          <w:rFonts w:hint="eastAsia" w:ascii="黑体" w:hAnsi="黑体" w:eastAsia="黑体" w:cs="黑体"/>
          <w:b w:val="0"/>
          <w:bCs w:val="0"/>
          <w:color w:val="auto"/>
          <w:kern w:val="2"/>
          <w:sz w:val="28"/>
          <w:szCs w:val="28"/>
          <w:lang w:val="en-US" w:eastAsia="zh-CN" w:bidi="ar-SA"/>
        </w:rPr>
        <w:t>项目总概算</w:t>
      </w:r>
      <w:bookmarkEnd w:id="129"/>
      <w:bookmarkEnd w:id="130"/>
      <w:bookmarkEnd w:id="13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具体见表1</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color w:val="auto"/>
          <w:sz w:val="28"/>
          <w:szCs w:val="28"/>
          <w:lang w:val="en-GB"/>
        </w:rPr>
        <w:t>-</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GB"/>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表10-1     项目总投资费用结构表</w:t>
      </w:r>
    </w:p>
    <w:tbl>
      <w:tblPr>
        <w:tblStyle w:val="14"/>
        <w:tblW w:w="88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序号</w:t>
            </w:r>
          </w:p>
        </w:tc>
        <w:tc>
          <w:tcPr>
            <w:tcW w:w="19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工程或费用名称</w:t>
            </w:r>
          </w:p>
        </w:tc>
        <w:tc>
          <w:tcPr>
            <w:tcW w:w="118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建安工程费</w:t>
            </w:r>
          </w:p>
        </w:tc>
        <w:tc>
          <w:tcPr>
            <w:tcW w:w="102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设备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购置费</w:t>
            </w:r>
          </w:p>
        </w:tc>
        <w:tc>
          <w:tcPr>
            <w:tcW w:w="8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独立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费用</w:t>
            </w:r>
          </w:p>
        </w:tc>
        <w:tc>
          <w:tcPr>
            <w:tcW w:w="10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投资合计</w:t>
            </w:r>
          </w:p>
        </w:tc>
        <w:tc>
          <w:tcPr>
            <w:tcW w:w="175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91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8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财政资金</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自筹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Ⅰ</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总投资</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3456.00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第一部分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土地平整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耕作田块修筑工程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57.34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57.34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57.34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耕作层地利保持工程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94.49</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94.49</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94.49</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第二部分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163.65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163.65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163.65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74.35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74.35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74.35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26.66</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26.66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26.66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第三部分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灌溉排水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2180.71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20.76</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2201.46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2201.46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水源工程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1136.60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1139.96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1139.96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输水工程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508.63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15.80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524.43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524.43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排水工程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535.48</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537.08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537.08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第四部分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高效节水灌溉</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41.63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41.63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第五部分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田间道路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道路工程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第六部分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农田防护与生态环境保护</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生态环境保护工程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第七部分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农田输配电</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第八部分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科技推广措施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35.00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第九部分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其他工作及措施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211.48</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211.48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211.48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项目管理费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64.56</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64.56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64.56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工程建设监理费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69.12</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69.12</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69.12</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勘测设计费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77.80</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77.80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1"/>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32" w:name="_Toc45723067"/>
      <w:r>
        <w:rPr>
          <w:rFonts w:hint="eastAsia" w:ascii="仿宋_GB2312" w:hAnsi="仿宋_GB2312" w:eastAsia="仿宋_GB2312" w:cs="仿宋_GB2312"/>
          <w:b/>
          <w:bCs/>
          <w:color w:val="auto"/>
          <w:kern w:val="2"/>
          <w:sz w:val="28"/>
          <w:szCs w:val="28"/>
          <w:lang w:val="en-US" w:eastAsia="zh-CN" w:bidi="ar-SA"/>
        </w:rPr>
        <w:t>项目分村投资结构表</w:t>
      </w:r>
      <w:bookmarkEnd w:id="13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项目分村投资结构表见表10-2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仿宋_GB2312" w:hAnsi="仿宋_GB2312" w:eastAsia="仿宋_GB2312" w:cs="仿宋_GB2312"/>
          <w:b/>
          <w:color w:val="auto"/>
          <w:kern w:val="32"/>
          <w:sz w:val="28"/>
          <w:szCs w:val="28"/>
          <w:lang w:val="en-US" w:eastAsia="zh-CN" w:bidi="ar-SA"/>
        </w:rPr>
      </w:pPr>
      <w:r>
        <w:rPr>
          <w:rFonts w:hint="eastAsia" w:ascii="仿宋_GB2312" w:hAnsi="仿宋_GB2312" w:eastAsia="仿宋_GB2312" w:cs="仿宋_GB2312"/>
          <w:b/>
          <w:color w:val="auto"/>
          <w:kern w:val="32"/>
          <w:sz w:val="28"/>
          <w:szCs w:val="28"/>
          <w:lang w:val="en-US" w:eastAsia="zh-CN" w:bidi="ar-SA"/>
        </w:rPr>
        <w:t>表10-2     项目分村投资费用结构表</w:t>
      </w:r>
    </w:p>
    <w:tbl>
      <w:tblPr>
        <w:tblStyle w:val="14"/>
        <w:tblW w:w="9004" w:type="dxa"/>
        <w:jc w:val="center"/>
        <w:tblLayout w:type="fixed"/>
        <w:tblCellMar>
          <w:top w:w="0" w:type="dxa"/>
          <w:left w:w="108" w:type="dxa"/>
          <w:bottom w:w="0" w:type="dxa"/>
          <w:right w:w="108" w:type="dxa"/>
        </w:tblCellMar>
      </w:tblPr>
      <w:tblGrid>
        <w:gridCol w:w="1451"/>
        <w:gridCol w:w="974"/>
        <w:gridCol w:w="1082"/>
        <w:gridCol w:w="1082"/>
        <w:gridCol w:w="1082"/>
        <w:gridCol w:w="1082"/>
        <w:gridCol w:w="1082"/>
        <w:gridCol w:w="1169"/>
      </w:tblGrid>
      <w:tr>
        <w:tblPrEx>
          <w:tblCellMar>
            <w:top w:w="0" w:type="dxa"/>
            <w:left w:w="108" w:type="dxa"/>
            <w:bottom w:w="0" w:type="dxa"/>
            <w:right w:w="108" w:type="dxa"/>
          </w:tblCellMar>
        </w:tblPrEx>
        <w:trPr>
          <w:trHeight w:val="495" w:hRule="atLeast"/>
          <w:tblHeader/>
          <w:jc w:val="center"/>
        </w:trPr>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7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XX村</w:t>
            </w:r>
          </w:p>
        </w:tc>
        <w:tc>
          <w:tcPr>
            <w:tcW w:w="10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毛家岗村</w:t>
            </w:r>
          </w:p>
        </w:tc>
        <w:tc>
          <w:tcPr>
            <w:tcW w:w="10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清泉村</w:t>
            </w:r>
          </w:p>
        </w:tc>
        <w:tc>
          <w:tcPr>
            <w:tcW w:w="10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黄林堰村</w:t>
            </w:r>
          </w:p>
        </w:tc>
        <w:tc>
          <w:tcPr>
            <w:tcW w:w="10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金坪村</w:t>
            </w:r>
          </w:p>
        </w:tc>
        <w:tc>
          <w:tcPr>
            <w:tcW w:w="10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填平补齐</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合计</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21.78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23.07</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r>
      <w:tr>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山塘</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33.45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201.58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194.94</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190.70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272.40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236.33</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1129.40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泵站</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骨干灌渠</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74.18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131.92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51.26</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63.56</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203.52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骨干排渠</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281.18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244.56</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r>
      <w:tr>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管道灌溉</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71.05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270.85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43.48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29.53</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211.69</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太阳灯</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7.00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14.00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r>
      <w:tr>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18.52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6.43</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6.18</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24.41</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4.70</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4.62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19.83</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6.89</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6.61</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26.13</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5.03</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22.32</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7.44</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29.41</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5.67</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合计</w:t>
            </w:r>
          </w:p>
        </w:tc>
        <w:tc>
          <w:tcPr>
            <w:tcW w:w="97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231.20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991.50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344.41</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330.60</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1306.55</w:t>
            </w:r>
          </w:p>
        </w:tc>
        <w:tc>
          <w:tcPr>
            <w:tcW w:w="10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251.73</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3" w:name="7.3资金筹措方案"/>
      <w:bookmarkEnd w:id="133"/>
      <w:bookmarkStart w:id="134" w:name="_Toc12984"/>
      <w:bookmarkStart w:id="135" w:name="_Toc11250290"/>
      <w:bookmarkStart w:id="136" w:name="_Toc45723068"/>
      <w:r>
        <w:rPr>
          <w:rFonts w:hint="eastAsia" w:ascii="黑体" w:hAnsi="黑体" w:eastAsia="黑体" w:cs="黑体"/>
          <w:b w:val="0"/>
          <w:bCs w:val="0"/>
          <w:color w:val="auto"/>
          <w:kern w:val="2"/>
          <w:sz w:val="28"/>
          <w:szCs w:val="28"/>
          <w:lang w:val="en-US" w:eastAsia="zh-CN" w:bidi="ar-SA"/>
        </w:rPr>
        <w:t>资金筹措方案</w:t>
      </w:r>
      <w:bookmarkEnd w:id="134"/>
      <w:bookmarkEnd w:id="135"/>
      <w:bookmarkEnd w:id="136"/>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概算总投资3456.00万元，其中XXX。</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资本金筹措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说明项目资本金的出资人、出资方式、出资额度及认缴进度，计算占总投资的比例。项目资金一般包括中央财政资金、地方财政资金和自筹三部分。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债务资金筹措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融资方案分析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对融资方案进行分析，包括资金结构、融资风险和融资成本等。</w:t>
      </w:r>
    </w:p>
    <w:p>
      <w:pPr>
        <w:rPr>
          <w:rFonts w:hint="eastAsia"/>
        </w:rPr>
        <w:sectPr>
          <w:headerReference r:id="rId26" w:type="default"/>
          <w:footerReference r:id="rId27"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137" w:name="_Toc14854235"/>
      <w:bookmarkStart w:id="138" w:name="_Toc45723069"/>
      <w:r>
        <w:rPr>
          <w:rFonts w:hint="eastAsia" w:ascii="方正小标宋简体" w:hAnsi="方正小标宋简体" w:eastAsia="方正小标宋简体" w:cs="方正小标宋简体"/>
          <w:b w:val="0"/>
          <w:bCs w:val="0"/>
          <w:color w:val="auto"/>
          <w:sz w:val="36"/>
          <w:szCs w:val="36"/>
        </w:rPr>
        <w:t>绩效目标与综合评价</w:t>
      </w:r>
      <w:bookmarkEnd w:id="137"/>
      <w:bookmarkEnd w:id="138"/>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9" w:name="_Toc4572307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经济效益分析</w:t>
      </w:r>
      <w:bookmarkEnd w:id="139"/>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新增固定资产价值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年高标准农田建设项目，按照《高标准农田建设通则（GBT30600-20</w:t>
      </w:r>
      <w:r>
        <w:rPr>
          <w:rFonts w:hint="eastAsia" w:ascii="仿宋_GB2312" w:hAnsi="仿宋_GB2312" w:cs="仿宋_GB2312"/>
          <w:color w:val="auto"/>
          <w:sz w:val="28"/>
          <w:szCs w:val="28"/>
          <w:lang w:val="en-US" w:eastAsia="zh-CN"/>
        </w:rPr>
        <w:t>22</w:t>
      </w:r>
      <w:r>
        <w:rPr>
          <w:rFonts w:hint="eastAsia" w:ascii="仿宋_GB2312" w:hAnsi="仿宋_GB2312" w:eastAsia="仿宋_GB2312" w:cs="仿宋_GB2312"/>
          <w:color w:val="auto"/>
          <w:sz w:val="28"/>
          <w:szCs w:val="28"/>
        </w:rPr>
        <w:t>）》的要求，科学合理地设计高标准农田建设内容，包括土壤改良工程、灌溉与排水工程、田间道路工程、农田防护与生态环境保持工程、监测工程等，实行土、水、路、技、管综合配套，新增建设总投资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万元，按扣除其他工作及措施费用(共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万元)计算，项目区新增固定资产价值为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新增和改善灌溉面积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通过加强项目区水源工程建设，配套改造和建设输配水渠（管）道和排水沟（管）道、泵站及渠系建筑物。因地制宜推广渠道防渗、管道输水、沟畦灌、水稻控制灌溉等节水灌溉技术。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改善劳动强度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促进粮食增产和农民增收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（1）新增粮食产能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项目建成后，新增、改善项目区灌溉面积</w:t>
      </w:r>
      <w:r>
        <w:rPr>
          <w:rFonts w:hint="eastAsia" w:ascii="仿宋_GB2312" w:hAnsi="仿宋_GB2312" w:eastAsia="仿宋_GB2312" w:cs="仿宋_GB2312"/>
          <w:color w:val="auto"/>
          <w:sz w:val="28"/>
          <w:szCs w:val="28"/>
          <w:lang w:val="en-US" w:eastAsia="zh-CN"/>
        </w:rPr>
        <w:t>XXXX</w:t>
      </w:r>
      <w:r>
        <w:rPr>
          <w:rFonts w:hint="eastAsia" w:ascii="仿宋_GB2312" w:hAnsi="仿宋_GB2312" w:eastAsia="仿宋_GB2312" w:cs="仿宋_GB2312"/>
          <w:color w:val="auto"/>
          <w:sz w:val="28"/>
          <w:szCs w:val="28"/>
        </w:rPr>
        <w:t>亩，提高了土、水、肥资源利用率；通过土壤改良，培肥地力，新品种、新技术的推广使用和优质粮食高产示范带动，使项目区粮食综合生产能力平均提高30kg/亩。按项目区全部种植优质稻测算，项目区年增产粮食1300t，按</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元/t计算，项目区每年可新增粮食产值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（2）成本费用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2）节约肥料费：通过秸秆还田和平衡施肥等措施替代化肥使用，每亩节约成本20元以上，项目区每年共节约肥料费</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3）增加生产成本费：项目区通过耕种收综合机械化水平和农作物统防统治覆盖率，按每亩年均增加生产成本费</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元计，项目区每年需增加生产成本</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项目区年节约运行成本费共110万元(节约用工费+节约肥料费-增加生产成本费)。</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（3）农民增收情况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通过高标准农田建设，项目区受益农民人数为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从以上分析可知，项目区每年共新增粮食产值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万元，年节约成本共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万元，年新增纯收入共435万元。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农民人均增加纯收入=年新增纯收入/受益农民人数=357元。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0" w:name="_Toc45723071"/>
      <w:r>
        <w:rPr>
          <w:rFonts w:hint="eastAsia" w:ascii="黑体" w:hAnsi="黑体" w:eastAsia="黑体" w:cs="黑体"/>
          <w:b w:val="0"/>
          <w:bCs w:val="0"/>
          <w:color w:val="auto"/>
          <w:kern w:val="2"/>
          <w:sz w:val="28"/>
          <w:szCs w:val="28"/>
          <w:lang w:val="en-US" w:eastAsia="zh-CN" w:bidi="ar-SA"/>
        </w:rPr>
        <w:t>社会效益分析</w:t>
      </w:r>
      <w:bookmarkEnd w:id="14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（1）预计项目区年新增粮食综合生产能力1300t，将为国家粮食安全做出积极贡献。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（2）增加农民收入，减轻劳动强度，提高种粮效益和农民种粮积极性。据测算，项目区每年可新增效益435万元，每亩年新增效益200元；同时</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年农田建设项目的实施需要部分当地农民参与建设，工程的建设本身又可以为当地农民带来就业机会、增加收入。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1" w:name="_Toc45723072"/>
      <w:r>
        <w:rPr>
          <w:rFonts w:hint="eastAsia" w:ascii="黑体" w:hAnsi="黑体" w:eastAsia="黑体" w:cs="黑体"/>
          <w:b w:val="0"/>
          <w:bCs w:val="0"/>
          <w:color w:val="auto"/>
          <w:kern w:val="2"/>
          <w:sz w:val="28"/>
          <w:szCs w:val="28"/>
          <w:lang w:val="en-US" w:eastAsia="zh-CN" w:bidi="ar-SA"/>
        </w:rPr>
        <w:t>生态效益分析</w:t>
      </w:r>
      <w:bookmarkEnd w:id="14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（2）实行配方施肥、增施有机肥和实施水旱轮作，减轻土壤次生潜育性，改良土壤理化性状，提高土地生产能力，减少化肥用量，可以防止土壤板结。</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（3）因地制宜地加强项目区农田防护林网建设，在主要道路、沟渠、河流两侧，适时适地适树进行植树造林；造林当年成活率达到95%以上，三年后保存率要达到90%以上。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2" w:name="_Toc45723073"/>
      <w:r>
        <w:rPr>
          <w:rFonts w:hint="eastAsia" w:ascii="黑体" w:hAnsi="黑体" w:eastAsia="黑体" w:cs="黑体"/>
          <w:b w:val="0"/>
          <w:bCs w:val="0"/>
          <w:color w:val="auto"/>
          <w:kern w:val="2"/>
          <w:sz w:val="28"/>
          <w:szCs w:val="28"/>
          <w:lang w:val="en-US" w:eastAsia="zh-CN" w:bidi="ar-SA"/>
        </w:rPr>
        <w:t>经济评价</w:t>
      </w:r>
      <w:bookmarkEnd w:id="14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增量效益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表11.1-1  项目区水稻种植受益表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935"/>
        <w:gridCol w:w="1116"/>
        <w:gridCol w:w="743"/>
        <w:gridCol w:w="930"/>
        <w:gridCol w:w="930"/>
        <w:gridCol w:w="930"/>
        <w:gridCol w:w="1425"/>
        <w:gridCol w:w="9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5" w:type="dxa"/>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类型</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播种面积</w:t>
            </w: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单产</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单价</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毛收入</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成本</w:t>
            </w: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总成本</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5"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kg/亩</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元/kg</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元/亩</w:t>
            </w: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水稻（现状）</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93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水稻（实施后）</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4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939" w:type="dxa"/>
            <w:gridSpan w:val="8"/>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表11.1-2  项目区油菜种植受益表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40"/>
        <w:gridCol w:w="1040"/>
        <w:gridCol w:w="1041"/>
        <w:gridCol w:w="1041"/>
        <w:gridCol w:w="1041"/>
        <w:gridCol w:w="1041"/>
        <w:gridCol w:w="1045"/>
        <w:gridCol w:w="15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类型</w:t>
            </w:r>
          </w:p>
        </w:tc>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播种面积</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单产</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单价</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毛收入</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成本</w:t>
            </w:r>
          </w:p>
        </w:tc>
        <w:tc>
          <w:tcPr>
            <w:tcW w:w="10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总成本</w:t>
            </w:r>
          </w:p>
        </w:tc>
        <w:tc>
          <w:tcPr>
            <w:tcW w:w="15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kg/亩</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元/kg</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元/亩</w:t>
            </w:r>
          </w:p>
        </w:tc>
        <w:tc>
          <w:tcPr>
            <w:tcW w:w="10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5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0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289"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15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以上二项合计扣除生产成本和其它费用后可增加年产值567.11万元。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费用分析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1）工程维修费：包括大修理费及经常修理费，即日常年维护、修理、燃料动力费，按调整后投资的1.0%计算。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2）工资及福利：工资及福利包括管理单位人员</w:t>
      </w:r>
      <w:r>
        <w:rPr>
          <w:rFonts w:hint="eastAsia" w:ascii="仿宋_GB2312" w:hAnsi="仿宋_GB2312" w:eastAsia="仿宋_GB2312" w:cs="仿宋_GB2312"/>
          <w:color w:val="auto"/>
          <w:sz w:val="28"/>
          <w:szCs w:val="28"/>
          <w:lang w:eastAsia="zh-CN"/>
        </w:rPr>
        <w:t>经费补助</w:t>
      </w:r>
      <w:r>
        <w:rPr>
          <w:rFonts w:hint="eastAsia" w:ascii="仿宋_GB2312" w:hAnsi="仿宋_GB2312" w:eastAsia="仿宋_GB2312" w:cs="仿宋_GB2312"/>
          <w:color w:val="auto"/>
          <w:sz w:val="28"/>
          <w:szCs w:val="28"/>
        </w:rPr>
        <w:t>。该项目管理人员2名，人</w:t>
      </w:r>
      <w:r>
        <w:rPr>
          <w:rFonts w:hint="eastAsia" w:ascii="仿宋_GB2312" w:hAnsi="仿宋_GB2312" w:eastAsia="仿宋_GB2312" w:cs="仿宋_GB2312"/>
          <w:color w:val="auto"/>
          <w:sz w:val="28"/>
          <w:szCs w:val="28"/>
          <w:lang w:eastAsia="zh-CN"/>
        </w:rPr>
        <w:t>均补助</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3）行政管理费：行政管理费包括办公费、差旅费、劳保福利费、科研教育费等经常支付费用，根据当地实际情况，按工资及福利总额的40%计。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4）其它费用：包括以上三项以外的杂费，按调整后投资的0.5%计。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43" w:name="_Toc45723074"/>
      <w:r>
        <w:rPr>
          <w:rFonts w:hint="eastAsia" w:ascii="仿宋_GB2312" w:hAnsi="仿宋_GB2312" w:eastAsia="仿宋_GB2312" w:cs="仿宋_GB2312"/>
          <w:b/>
          <w:bCs/>
          <w:color w:val="auto"/>
          <w:kern w:val="2"/>
          <w:sz w:val="28"/>
          <w:szCs w:val="28"/>
          <w:lang w:val="en-US" w:eastAsia="zh-CN" w:bidi="ar-SA"/>
        </w:rPr>
        <w:t>主要评价指标</w:t>
      </w:r>
      <w:bookmarkEnd w:id="14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农田建设工程项目经济评价指标分别为：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（1）经济累计净现值大于0；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（3）经济内部收益率大于行业基准财务收益率8%；</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本项目经济净现值计算过程见表11.4-1。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从经济净现值计算表可以看出：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经济指标：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（1）累计净现值为416.37万元，大于0；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（2）经济效益费用比为：1.1，大于1；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（3）投资回收期为：8.09年（含建设期）；</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（4）经计算，经济内部收益率为10.19%，大于8%。因此该项目经济上可行。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bCs/>
          <w:color w:val="auto"/>
          <w:sz w:val="28"/>
          <w:szCs w:val="28"/>
        </w:rPr>
        <w:sectPr>
          <w:headerReference r:id="rId28"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表11.4-1     财务分析现金流量表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2019</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2020</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2024</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2025</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综合效益</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回收固定资金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增量费用流量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固定资产投资</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年运行费</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累计净效益流量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tabs>
          <w:tab w:val="left" w:pos="2205"/>
        </w:tabs>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b/>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农田建设工程项目绩效评价指标分别为：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4"/>
        <w:tblW w:w="9681" w:type="dxa"/>
        <w:jc w:val="center"/>
        <w:shd w:val="clear" w:color="auto" w:fill="auto"/>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shd w:val="clear" w:color="auto" w:fill="auto"/>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方正小标宋简体" w:hAnsi="方正小标宋简体" w:eastAsia="方正小标宋简体" w:cs="方正小标宋简体"/>
                <w:color w:val="auto"/>
                <w:sz w:val="30"/>
                <w:szCs w:val="30"/>
              </w:rPr>
            </w:pPr>
            <w:r>
              <w:rPr>
                <w:rFonts w:hint="eastAsia" w:ascii="方正小标宋简体" w:hAnsi="方正小标宋简体" w:eastAsia="方正小标宋简体" w:cs="方正小标宋简体"/>
                <w:color w:val="auto"/>
                <w:sz w:val="30"/>
                <w:szCs w:val="30"/>
              </w:rPr>
              <w:t>项目建设绩效目标表</w:t>
            </w:r>
          </w:p>
        </w:tc>
      </w:tr>
      <w:tr>
        <w:tblPrEx>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（XX年度）</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备注</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lang w:eastAsia="zh-CN"/>
              </w:rPr>
              <w:t>XX</w:t>
            </w:r>
            <w:r>
              <w:rPr>
                <w:rFonts w:hint="eastAsia" w:ascii="仿宋_GB2312" w:hAnsi="仿宋_GB2312" w:eastAsia="仿宋_GB2312" w:cs="仿宋_GB2312"/>
                <w:color w:val="auto"/>
                <w:sz w:val="16"/>
                <w:szCs w:val="16"/>
              </w:rPr>
              <w:t>省农业农村厅</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项目资金（万元）</w:t>
            </w:r>
          </w:p>
        </w:tc>
        <w:tc>
          <w:tcPr>
            <w:tcW w:w="1500"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854"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年初预算数</w:t>
            </w:r>
          </w:p>
        </w:tc>
        <w:tc>
          <w:tcPr>
            <w:tcW w:w="1605"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全年预算数（A）</w:t>
            </w:r>
          </w:p>
        </w:tc>
        <w:tc>
          <w:tcPr>
            <w:tcW w:w="934"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全年执行数（B）</w:t>
            </w:r>
          </w:p>
        </w:tc>
        <w:tc>
          <w:tcPr>
            <w:tcW w:w="1142"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年度资金总额：</w:t>
            </w:r>
          </w:p>
        </w:tc>
        <w:tc>
          <w:tcPr>
            <w:tcW w:w="85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年初设定目标</w:t>
            </w:r>
          </w:p>
        </w:tc>
        <w:tc>
          <w:tcPr>
            <w:tcW w:w="2539" w:type="dxa"/>
            <w:gridSpan w:val="2"/>
            <w:tcBorders>
              <w:top w:val="single" w:color="auto" w:sz="4" w:space="0"/>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397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539"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绩效指标</w:t>
            </w:r>
          </w:p>
        </w:tc>
        <w:tc>
          <w:tcPr>
            <w:tcW w:w="61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一级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指标</w:t>
            </w:r>
          </w:p>
        </w:tc>
        <w:tc>
          <w:tcPr>
            <w:tcW w:w="10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三级指标</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年度指标值</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全年完成值</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出</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标（50分）</w:t>
            </w:r>
          </w:p>
        </w:tc>
        <w:tc>
          <w:tcPr>
            <w:tcW w:w="1000"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指标1：新增高标准农田面（万亩）</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指标2：新增高效节水灌溉面积（万亩）</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项目验收合格率</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≥95%</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任务完成及时性</w:t>
            </w:r>
          </w:p>
        </w:tc>
        <w:tc>
          <w:tcPr>
            <w:tcW w:w="16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1-2年</w:t>
            </w:r>
          </w:p>
        </w:tc>
        <w:tc>
          <w:tcPr>
            <w:tcW w:w="9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single" w:color="auto" w:sz="4" w:space="0"/>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财政亩均补助标准</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效</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益</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指标1：粮食综合生产能力</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明显提升</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指标2：田间道路通达率</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平原区达到100%，丘陵区≥90%</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指标1：耕地质量</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指标2：水资源利用率</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农业种植结构</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进一步优化</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满意度指标（10分）</w:t>
            </w:r>
          </w:p>
        </w:tc>
        <w:tc>
          <w:tcPr>
            <w:tcW w:w="10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受益群众满意度</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≥90%</w:t>
            </w:r>
          </w:p>
        </w:tc>
        <w:tc>
          <w:tcPr>
            <w:tcW w:w="9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4" w:name="_Toc14854240"/>
      <w:bookmarkStart w:id="145" w:name="_Toc45723075"/>
      <w:r>
        <w:rPr>
          <w:rFonts w:hint="eastAsia" w:ascii="黑体" w:hAnsi="黑体" w:eastAsia="黑体" w:cs="黑体"/>
          <w:b w:val="0"/>
          <w:bCs w:val="0"/>
          <w:color w:val="auto"/>
          <w:kern w:val="2"/>
          <w:sz w:val="28"/>
          <w:szCs w:val="28"/>
          <w:lang w:val="en-US" w:eastAsia="zh-CN" w:bidi="ar-SA"/>
        </w:rPr>
        <w:t>耕地质量评价</w:t>
      </w:r>
      <w:bookmarkEnd w:id="144"/>
      <w:bookmarkEnd w:id="145"/>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（2）通过加强项目区耕地质量监测，利用田间监测点、定位监测设施开展耕地质量评定及动态监测。建成后，高标准农田的耕地质量有所提升，相应措施面积覆盖率必须达90%以上。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r>
        <w:rPr>
          <w:rFonts w:hint="eastAsia" w:ascii="楷体_GB2312" w:hAnsi="楷体_GB2312" w:eastAsia="楷体_GB2312" w:cs="楷体_GB2312"/>
          <w:b w:val="0"/>
          <w:bCs w:val="0"/>
          <w:color w:val="auto"/>
          <w:sz w:val="28"/>
          <w:szCs w:val="28"/>
        </w:rPr>
        <w:t>（一）附表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附表1  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附表2  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附表3  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附表4  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 w:val="0"/>
          <w:b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bookmarkStart w:id="146" w:name="_Toc10817"/>
      <w:bookmarkStart w:id="147" w:name="_Toc45723076"/>
      <w:r>
        <w:rPr>
          <w:rFonts w:hint="eastAsia" w:ascii="楷体_GB2312" w:hAnsi="楷体_GB2312" w:eastAsia="楷体_GB2312" w:cs="楷体_GB2312"/>
          <w:b w:val="0"/>
          <w:bCs w:val="0"/>
          <w:color w:val="auto"/>
          <w:sz w:val="28"/>
          <w:szCs w:val="28"/>
        </w:rPr>
        <w:t>（三）附图：</w:t>
      </w:r>
      <w:bookmarkEnd w:id="146"/>
      <w:bookmarkEnd w:id="147"/>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附图1.地理位置示意图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附图2.土地利用现状图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附图3.工程总平面布置图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b w:val="0"/>
          <w:bCs w:val="0"/>
          <w:color w:val="auto"/>
          <w:sz w:val="28"/>
          <w:szCs w:val="28"/>
        </w:rPr>
        <w:t>附图4.其它附图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48" w:name="_Toc45723077"/>
      <w:r>
        <w:rPr>
          <w:rFonts w:hint="eastAsia" w:ascii="黑体" w:hAnsi="黑体" w:eastAsia="黑体" w:cs="黑体"/>
          <w:b w:val="0"/>
          <w:bCs w:val="0"/>
          <w:color w:val="auto"/>
          <w:kern w:val="2"/>
          <w:sz w:val="28"/>
          <w:szCs w:val="28"/>
          <w:lang w:val="en-US" w:eastAsia="zh-CN" w:bidi="ar-SA"/>
        </w:rPr>
        <w:t>附表1</w:t>
      </w:r>
      <w:bookmarkEnd w:id="148"/>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833" w:type="dxa"/>
        <w:jc w:val="center"/>
        <w:tblLayout w:type="fixed"/>
        <w:tblCellMar>
          <w:top w:w="0" w:type="dxa"/>
          <w:left w:w="108" w:type="dxa"/>
          <w:bottom w:w="0" w:type="dxa"/>
          <w:right w:w="108" w:type="dxa"/>
        </w:tblCellMar>
      </w:tblPr>
      <w:tblGrid>
        <w:gridCol w:w="1134"/>
        <w:gridCol w:w="2976"/>
        <w:gridCol w:w="1716"/>
        <w:gridCol w:w="1404"/>
        <w:gridCol w:w="1603"/>
      </w:tblGrid>
      <w:tr>
        <w:tblPrEx>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97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171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单 位</w:t>
            </w:r>
          </w:p>
        </w:tc>
        <w:tc>
          <w:tcPr>
            <w:tcW w:w="140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数  量</w:t>
            </w:r>
          </w:p>
        </w:tc>
        <w:tc>
          <w:tcPr>
            <w:tcW w:w="160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备  注</w:t>
            </w: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项目区基本情况</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涉及乡（镇）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涉及行政村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农业劳动力</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土地总面积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（九）</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未利用地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粮食总产</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农民人均年纯收入</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项目区资源条件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现有中低产田面积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水资源总量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现有水利工程可供水量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项目区现状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骨干水利工程完好率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田间工程配套率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渠系水利用系数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有效灌溉面积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除涝面积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防洪保证率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林木覆盖率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农田建设任务</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投资及资金筹措</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中央财政资金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省级财政资金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市州（县市区）财政资金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自筹资金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投工量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万工日</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投劳折资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经济评价</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经济内部收益率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经济净现值</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经济效益费用比</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投资回收期</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49" w:name="_Toc45723078"/>
      <w:r>
        <w:rPr>
          <w:rFonts w:hint="eastAsia" w:ascii="黑体" w:hAnsi="黑体" w:eastAsia="黑体" w:cs="黑体"/>
          <w:b w:val="0"/>
          <w:bCs w:val="0"/>
          <w:color w:val="auto"/>
          <w:kern w:val="2"/>
          <w:sz w:val="28"/>
          <w:szCs w:val="28"/>
          <w:lang w:val="en-US" w:eastAsia="zh-CN" w:bidi="ar-SA"/>
        </w:rPr>
        <w:t>附表2</w:t>
      </w:r>
      <w:bookmarkEnd w:id="14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14557" w:type="dxa"/>
        <w:jc w:val="center"/>
        <w:tblLayout w:type="fixed"/>
        <w:tblCellMar>
          <w:top w:w="0" w:type="dxa"/>
          <w:left w:w="108" w:type="dxa"/>
          <w:bottom w:w="0" w:type="dxa"/>
          <w:right w:w="108" w:type="dxa"/>
        </w:tblCellMar>
      </w:tblPr>
      <w:tblGrid>
        <w:gridCol w:w="3009"/>
        <w:gridCol w:w="931"/>
        <w:gridCol w:w="740"/>
        <w:gridCol w:w="759"/>
        <w:gridCol w:w="759"/>
        <w:gridCol w:w="759"/>
        <w:gridCol w:w="759"/>
        <w:gridCol w:w="759"/>
        <w:gridCol w:w="759"/>
        <w:gridCol w:w="759"/>
        <w:gridCol w:w="764"/>
        <w:gridCol w:w="759"/>
        <w:gridCol w:w="759"/>
        <w:gridCol w:w="761"/>
        <w:gridCol w:w="537"/>
        <w:gridCol w:w="984"/>
      </w:tblGrid>
      <w:tr>
        <w:tblPrEx>
          <w:tblCellMar>
            <w:top w:w="0" w:type="dxa"/>
            <w:left w:w="108" w:type="dxa"/>
            <w:bottom w:w="0" w:type="dxa"/>
            <w:right w:w="108" w:type="dxa"/>
          </w:tblCellMar>
        </w:tblPrEx>
        <w:trPr>
          <w:trHeight w:val="306" w:hRule="atLeast"/>
          <w:tblHeader/>
          <w:jc w:val="center"/>
        </w:trPr>
        <w:tc>
          <w:tcPr>
            <w:tcW w:w="3009"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项目</w:t>
            </w:r>
          </w:p>
        </w:tc>
        <w:tc>
          <w:tcPr>
            <w:tcW w:w="931"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单位</w:t>
            </w:r>
          </w:p>
        </w:tc>
        <w:tc>
          <w:tcPr>
            <w:tcW w:w="740"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行号</w:t>
            </w:r>
          </w:p>
        </w:tc>
        <w:tc>
          <w:tcPr>
            <w:tcW w:w="759"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务</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量</w:t>
            </w:r>
          </w:p>
        </w:tc>
        <w:tc>
          <w:tcPr>
            <w:tcW w:w="9118" w:type="dxa"/>
            <w:gridSpan w:val="1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投资（万元）</w:t>
            </w:r>
          </w:p>
        </w:tc>
      </w:tr>
      <w:tr>
        <w:tblPrEx>
          <w:tblCellMar>
            <w:top w:w="0" w:type="dxa"/>
            <w:left w:w="108" w:type="dxa"/>
            <w:bottom w:w="0" w:type="dxa"/>
            <w:right w:w="108" w:type="dxa"/>
          </w:tblCellMar>
        </w:tblPrEx>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投资总额</w:t>
            </w:r>
          </w:p>
        </w:tc>
        <w:tc>
          <w:tcPr>
            <w:tcW w:w="4559"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财政资金</w:t>
            </w:r>
          </w:p>
        </w:tc>
        <w:tc>
          <w:tcPr>
            <w:tcW w:w="2279"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自筹资金</w:t>
            </w:r>
          </w:p>
        </w:tc>
        <w:tc>
          <w:tcPr>
            <w:tcW w:w="1521"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其他资金</w:t>
            </w:r>
          </w:p>
        </w:tc>
      </w:tr>
      <w:tr>
        <w:tblPrEx>
          <w:tblCellMar>
            <w:top w:w="0" w:type="dxa"/>
            <w:left w:w="108" w:type="dxa"/>
            <w:bottom w:w="0" w:type="dxa"/>
            <w:right w:w="108" w:type="dxa"/>
          </w:tblCellMar>
        </w:tblPrEx>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75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中央财政资金</w:t>
            </w:r>
          </w:p>
        </w:tc>
        <w:tc>
          <w:tcPr>
            <w:tcW w:w="3041"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地方财政资金</w:t>
            </w:r>
          </w:p>
        </w:tc>
        <w:tc>
          <w:tcPr>
            <w:tcW w:w="75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152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其中：投工投劳</w:t>
            </w:r>
          </w:p>
        </w:tc>
        <w:tc>
          <w:tcPr>
            <w:tcW w:w="152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r>
      <w:tr>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省级</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地级</w:t>
            </w: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县级</w:t>
            </w:r>
          </w:p>
        </w:tc>
        <w:tc>
          <w:tcPr>
            <w:tcW w:w="75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折资</w:t>
            </w: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数量(万工日)</w:t>
            </w:r>
          </w:p>
        </w:tc>
        <w:tc>
          <w:tcPr>
            <w:tcW w:w="537" w:type="dxa"/>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98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其中:银行贷款</w:t>
            </w: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栏次</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高标准农田建设项目</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（一）土地平整</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1.田块修筑</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2.耕作层剥离和回填</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3.细部平整</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（二）土壤改良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1.沙（黏）质土壤治理</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2.酸化土壤治理</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3.盐碱土壤治理</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4.污染土壤修复</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5.地力培肥</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（三）灌溉与排水</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1.塘堰（坝）</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2.小型拦河坝</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3.农用井</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4.小型集雨设施</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5.泵站</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6.疏浚沟渠</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7.衬砌明渠（沟）</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8.排水暗渠（管）</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9.渠系建筑物</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其中：水闸</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渡槽</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倒虹吸</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农桥</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涵洞</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跌水</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其它</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10.其他水利措施</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（四）高效节水灌溉</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1.管灌</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2.喷灌</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3.微灌</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（五）田间道路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1.机耕路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其中：硬化道路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2.生产路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3.其他田间道路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（六）农田防护与生态环境保护</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1.农田林网工程</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2.岸坡防护工程</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3.沟道治理工程</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4.坡面防护工程</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（七）农田输配电</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1.10kv以下的高压输电线路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2.低压输电线路</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3.变压器</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4.配电箱（屏）</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（八）科技推广措施</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1.技术培训</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人次</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2.仪器设备</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台、件</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3.耕地质量监测</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（九）其他工作及措施</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1.项目管理费</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2.工程监理费</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勘测设计费</w:t>
            </w:r>
          </w:p>
        </w:tc>
        <w:tc>
          <w:tcPr>
            <w:tcW w:w="93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2"/>
          <w:szCs w:val="2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2"/>
          <w:szCs w:val="22"/>
        </w:rPr>
        <w:t>注：此为样表，按当年度项目编制要求设置。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50" w:name="_Toc45723079"/>
      <w:r>
        <w:rPr>
          <w:rFonts w:hint="eastAsia" w:ascii="黑体" w:hAnsi="黑体" w:eastAsia="黑体" w:cs="黑体"/>
          <w:b w:val="0"/>
          <w:bCs w:val="0"/>
          <w:color w:val="auto"/>
          <w:kern w:val="2"/>
          <w:sz w:val="28"/>
          <w:szCs w:val="28"/>
          <w:lang w:val="en-US" w:eastAsia="zh-CN" w:bidi="ar-SA"/>
        </w:rPr>
        <w:t>附表3</w:t>
      </w:r>
      <w:bookmarkEnd w:id="15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968" w:type="dxa"/>
        <w:jc w:val="center"/>
        <w:tblLayout w:type="fixed"/>
        <w:tblCellMar>
          <w:top w:w="0" w:type="dxa"/>
          <w:left w:w="108" w:type="dxa"/>
          <w:bottom w:w="0" w:type="dxa"/>
          <w:right w:w="108" w:type="dxa"/>
        </w:tblCellMar>
      </w:tblPr>
      <w:tblGrid>
        <w:gridCol w:w="4556"/>
        <w:gridCol w:w="1356"/>
        <w:gridCol w:w="1107"/>
        <w:gridCol w:w="1949"/>
      </w:tblGrid>
      <w:tr>
        <w:tblPrEx>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项目名称</w:t>
            </w:r>
          </w:p>
        </w:tc>
        <w:tc>
          <w:tcPr>
            <w:tcW w:w="135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0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行次</w:t>
            </w:r>
          </w:p>
        </w:tc>
        <w:tc>
          <w:tcPr>
            <w:tcW w:w="194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数值</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1.新增耕地面积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级</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5.年节约水量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8.增加机耕面积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10.道路通达率</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11.蓄水池容量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(二)年新增主要农产品生产能力</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1.粮食</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2.棉花</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3.油料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4.糖料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5.其他农产品</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(三)项目区经济效益和社会效益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户</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（四）其他效益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家庭农场个数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种粮大户个数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51" w:name="_Toc45723080"/>
      <w:r>
        <w:rPr>
          <w:rFonts w:hint="eastAsia" w:ascii="黑体" w:hAnsi="黑体" w:eastAsia="黑体" w:cs="黑体"/>
          <w:b w:val="0"/>
          <w:bCs w:val="0"/>
          <w:color w:val="auto"/>
          <w:kern w:val="2"/>
          <w:sz w:val="28"/>
          <w:szCs w:val="28"/>
          <w:lang w:val="en-US" w:eastAsia="zh-CN" w:bidi="ar-SA"/>
        </w:rPr>
        <w:t>附表4</w:t>
      </w:r>
      <w:bookmarkEnd w:id="15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编制单位：                         项目名称：                                            单位：万m3  </w:t>
      </w:r>
    </w:p>
    <w:tbl>
      <w:tblPr>
        <w:tblStyle w:val="14"/>
        <w:tblW w:w="13770" w:type="dxa"/>
        <w:jc w:val="center"/>
        <w:tblLayout w:type="fixed"/>
        <w:tblCellMar>
          <w:top w:w="0" w:type="dxa"/>
          <w:left w:w="108" w:type="dxa"/>
          <w:bottom w:w="0" w:type="dxa"/>
          <w:right w:w="108" w:type="dxa"/>
        </w:tblCellMar>
      </w:tblPr>
      <w:tblGrid>
        <w:gridCol w:w="602"/>
        <w:gridCol w:w="876"/>
        <w:gridCol w:w="876"/>
        <w:gridCol w:w="1098"/>
        <w:gridCol w:w="602"/>
        <w:gridCol w:w="876"/>
        <w:gridCol w:w="876"/>
        <w:gridCol w:w="880"/>
        <w:gridCol w:w="602"/>
        <w:gridCol w:w="602"/>
        <w:gridCol w:w="602"/>
        <w:gridCol w:w="888"/>
        <w:gridCol w:w="850"/>
        <w:gridCol w:w="709"/>
        <w:gridCol w:w="882"/>
        <w:gridCol w:w="936"/>
        <w:gridCol w:w="1013"/>
      </w:tblGrid>
      <w:tr>
        <w:tblPrEx>
          <w:tblCellMar>
            <w:top w:w="0" w:type="dxa"/>
            <w:left w:w="108" w:type="dxa"/>
            <w:bottom w:w="0" w:type="dxa"/>
            <w:right w:w="108" w:type="dxa"/>
          </w:tblCellMar>
        </w:tblPrEx>
        <w:trPr>
          <w:trHeight w:val="405" w:hRule="atLeast"/>
          <w:jc w:val="center"/>
        </w:trPr>
        <w:tc>
          <w:tcPr>
            <w:tcW w:w="345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水资源总量</w:t>
            </w:r>
          </w:p>
        </w:tc>
        <w:tc>
          <w:tcPr>
            <w:tcW w:w="323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可供水量</w:t>
            </w:r>
          </w:p>
        </w:tc>
        <w:tc>
          <w:tcPr>
            <w:tcW w:w="3544"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354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余缺水量（+、－）</w:t>
            </w:r>
          </w:p>
        </w:tc>
      </w:tr>
      <w:tr>
        <w:tblPrEx>
          <w:tblCellMar>
            <w:top w:w="0" w:type="dxa"/>
            <w:left w:w="108" w:type="dxa"/>
            <w:bottom w:w="0" w:type="dxa"/>
            <w:right w:w="108" w:type="dxa"/>
          </w:tblCellMar>
        </w:tblPrEx>
        <w:trPr>
          <w:trHeight w:val="435"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地表水</w:t>
            </w: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地下水</w:t>
            </w: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过境水</w:t>
            </w: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地表水</w:t>
            </w: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地下水</w:t>
            </w: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过境水</w:t>
            </w: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农业</w:t>
            </w: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工业</w:t>
            </w: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城镇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生活</w:t>
            </w: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农村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生活</w:t>
            </w: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地表水</w:t>
            </w: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地下水</w:t>
            </w: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过境水</w:t>
            </w: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9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60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5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70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8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3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1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lang w:val="en-US" w:eastAsia="zh-CN"/>
        </w:rPr>
        <w:sectPr>
          <w:headerReference r:id="rId29" w:type="default"/>
          <w:footerReference r:id="rId30" w:type="default"/>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2"/>
          <w:szCs w:val="22"/>
        </w:rPr>
        <w:t xml:space="preserve">注：1．需水量计算指标：农业灌溉定额   </w:t>
      </w:r>
      <w:r>
        <w:rPr>
          <w:rFonts w:hint="eastAsia" w:ascii="仿宋_GB2312" w:hAnsi="仿宋_GB2312" w:eastAsia="仿宋_GB2312" w:cs="仿宋_GB2312"/>
          <w:bCs/>
          <w:color w:val="auto"/>
          <w:sz w:val="22"/>
          <w:szCs w:val="22"/>
        </w:rPr>
        <w:t>m</w:t>
      </w:r>
      <w:r>
        <w:rPr>
          <w:rFonts w:hint="eastAsia" w:ascii="仿宋_GB2312" w:hAnsi="仿宋_GB2312" w:eastAsia="仿宋_GB2312" w:cs="仿宋_GB2312"/>
          <w:bCs/>
          <w:color w:val="auto"/>
          <w:sz w:val="22"/>
          <w:szCs w:val="22"/>
          <w:vertAlign w:val="superscript"/>
        </w:rPr>
        <w:t>3</w:t>
      </w:r>
      <w:r>
        <w:rPr>
          <w:rFonts w:hint="eastAsia" w:ascii="仿宋_GB2312" w:hAnsi="仿宋_GB2312" w:eastAsia="仿宋_GB2312" w:cs="仿宋_GB2312"/>
          <w:color w:val="auto"/>
          <w:sz w:val="22"/>
          <w:szCs w:val="22"/>
        </w:rPr>
        <w:t xml:space="preserve">/亩，工业用水定额   </w:t>
      </w:r>
      <w:r>
        <w:rPr>
          <w:rFonts w:hint="eastAsia" w:ascii="仿宋_GB2312" w:hAnsi="仿宋_GB2312" w:eastAsia="仿宋_GB2312" w:cs="仿宋_GB2312"/>
          <w:bCs/>
          <w:color w:val="auto"/>
          <w:sz w:val="22"/>
          <w:szCs w:val="22"/>
        </w:rPr>
        <w:t>m</w:t>
      </w:r>
      <w:r>
        <w:rPr>
          <w:rFonts w:hint="eastAsia" w:ascii="仿宋_GB2312" w:hAnsi="仿宋_GB2312" w:eastAsia="仿宋_GB2312" w:cs="仿宋_GB2312"/>
          <w:bCs/>
          <w:color w:val="auto"/>
          <w:sz w:val="22"/>
          <w:szCs w:val="22"/>
          <w:vertAlign w:val="superscript"/>
        </w:rPr>
        <w:t>3</w:t>
      </w:r>
      <w:r>
        <w:rPr>
          <w:rFonts w:hint="eastAsia" w:ascii="仿宋_GB2312" w:hAnsi="仿宋_GB2312" w:eastAsia="仿宋_GB2312" w:cs="仿宋_GB2312"/>
          <w:color w:val="auto"/>
          <w:sz w:val="22"/>
          <w:szCs w:val="22"/>
        </w:rPr>
        <w:t xml:space="preserve">/万元，城镇生活人均日耗水   </w:t>
      </w:r>
      <w:r>
        <w:rPr>
          <w:rFonts w:hint="eastAsia" w:ascii="仿宋_GB2312" w:hAnsi="仿宋_GB2312" w:eastAsia="仿宋_GB2312" w:cs="仿宋_GB2312"/>
          <w:bCs/>
          <w:color w:val="auto"/>
          <w:sz w:val="22"/>
          <w:szCs w:val="22"/>
        </w:rPr>
        <w:t>m</w:t>
      </w:r>
      <w:r>
        <w:rPr>
          <w:rFonts w:hint="eastAsia" w:ascii="仿宋_GB2312" w:hAnsi="仿宋_GB2312" w:eastAsia="仿宋_GB2312" w:cs="仿宋_GB2312"/>
          <w:bCs/>
          <w:color w:val="auto"/>
          <w:sz w:val="22"/>
          <w:szCs w:val="22"/>
          <w:vertAlign w:val="superscript"/>
        </w:rPr>
        <w:t>3</w:t>
      </w:r>
      <w:r>
        <w:rPr>
          <w:rFonts w:hint="eastAsia" w:ascii="仿宋_GB2312" w:hAnsi="仿宋_GB2312" w:eastAsia="仿宋_GB2312" w:cs="仿宋_GB2312"/>
          <w:color w:val="auto"/>
          <w:sz w:val="22"/>
          <w:szCs w:val="22"/>
        </w:rPr>
        <w:t xml:space="preserve">/人日，农村生活人均日耗水   </w:t>
      </w:r>
      <w:r>
        <w:rPr>
          <w:rFonts w:hint="eastAsia" w:ascii="仿宋_GB2312" w:hAnsi="仿宋_GB2312" w:eastAsia="仿宋_GB2312" w:cs="仿宋_GB2312"/>
          <w:bCs/>
          <w:color w:val="auto"/>
          <w:sz w:val="22"/>
          <w:szCs w:val="22"/>
        </w:rPr>
        <w:t>m</w:t>
      </w:r>
      <w:r>
        <w:rPr>
          <w:rFonts w:hint="eastAsia" w:ascii="仿宋_GB2312" w:hAnsi="仿宋_GB2312" w:eastAsia="仿宋_GB2312" w:cs="仿宋_GB2312"/>
          <w:bCs/>
          <w:color w:val="auto"/>
          <w:sz w:val="22"/>
          <w:szCs w:val="22"/>
          <w:vertAlign w:val="superscript"/>
        </w:rPr>
        <w:t>3</w:t>
      </w:r>
      <w:r>
        <w:rPr>
          <w:rFonts w:hint="eastAsia" w:ascii="仿宋_GB2312" w:hAnsi="仿宋_GB2312" w:eastAsia="仿宋_GB2312" w:cs="仿宋_GB2312"/>
          <w:color w:val="auto"/>
          <w:sz w:val="22"/>
          <w:szCs w:val="22"/>
        </w:rPr>
        <w:t>/人日。</w:t>
      </w:r>
    </w:p>
    <w:p>
      <w:pPr>
        <w:pStyle w:val="7"/>
        <w:bidi w:val="0"/>
        <w:rPr>
          <w:rFonts w:hint="default"/>
          <w:lang w:val="en-US" w:eastAsia="zh-CN"/>
        </w:rPr>
      </w:pPr>
      <w:r>
        <w:rPr>
          <w:rFonts w:hint="eastAsia"/>
          <w:lang w:val="en-US" w:eastAsia="zh-CN"/>
        </w:rPr>
        <w:t>附件5-2</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广东省农业农村厅现代种业提升建设工程项目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widowControl/>
        <w:spacing w:line="360" w:lineRule="auto"/>
        <w:ind w:left="492" w:firstLine="600" w:firstLineChars="200"/>
        <w:jc w:val="left"/>
        <w:rPr>
          <w:rFonts w:ascii="仿宋_GB2312" w:hAnsi="宋体" w:eastAsia="仿宋_GB2312" w:cs="Times New Roman"/>
          <w:color w:val="000000"/>
          <w:kern w:val="0"/>
          <w:sz w:val="30"/>
          <w:szCs w:val="22"/>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b/>
          <w:bCs w:val="0"/>
          <w:color w:val="auto"/>
          <w:sz w:val="32"/>
          <w:szCs w:val="32"/>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建设单位的全称、所在地址及法定代表人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突出项目强化农业种质资源保护、提升自主创新能力及种业综合生产能力。</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根据项目类别提出相对应的具体实现目标，包括</w:t>
      </w:r>
      <w:r>
        <w:rPr>
          <w:rFonts w:hint="eastAsia" w:ascii="仿宋_GB2312" w:hAnsi="仿宋_GB2312" w:eastAsia="仿宋_GB2312" w:cs="仿宋_GB2312"/>
          <w:color w:val="auto"/>
          <w:sz w:val="28"/>
          <w:szCs w:val="28"/>
        </w:rPr>
        <w:t>品种创新选育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种子繁育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种子加工仓储</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、种子资源保护利用能力具体目标、种质资源场核心群规模具体目标、畜禽繁育能力提升的具体目标等。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项目建设</w:t>
      </w:r>
      <w:r>
        <w:rPr>
          <w:rFonts w:hint="eastAsia" w:ascii="仿宋_GB2312" w:hAnsi="仿宋_GB2312" w:eastAsia="仿宋_GB2312" w:cs="仿宋_GB2312"/>
          <w:color w:val="auto"/>
          <w:sz w:val="28"/>
          <w:szCs w:val="28"/>
          <w:lang w:eastAsia="zh-CN"/>
        </w:rPr>
        <w:t>规模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农作物种植类项目包括种植面积、作物种类、产量、季节安排等。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畜禽养殖类项目包括养殖种类，畜禽舍面积、畜禽存栏数、出栏数及畜产品产量等；水产养殖类项目包括水产养殖面积、种类、产量、季节安排等。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建设内容含建筑工程、田间工程及仪器设备</w:t>
      </w:r>
      <w:r>
        <w:rPr>
          <w:rFonts w:hint="eastAsia" w:ascii="仿宋_GB2312" w:hAnsi="仿宋_GB2312" w:eastAsia="仿宋_GB2312" w:cs="仿宋_GB2312"/>
          <w:color w:val="auto"/>
          <w:sz w:val="28"/>
          <w:szCs w:val="28"/>
          <w:lang w:eastAsia="zh-CN"/>
        </w:rPr>
        <w:t>等建设工程及数量</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w:t>
      </w:r>
      <w:r>
        <w:rPr>
          <w:rFonts w:hint="eastAsia" w:ascii="仿宋_GB2312" w:hAnsi="仿宋_GB2312" w:eastAsia="仿宋_GB2312" w:cs="仿宋_GB2312"/>
          <w:color w:val="auto"/>
          <w:sz w:val="28"/>
          <w:szCs w:val="28"/>
          <w:lang w:eastAsia="zh-CN"/>
        </w:rPr>
        <w:t>国家种质</w:t>
      </w:r>
      <w:r>
        <w:rPr>
          <w:rFonts w:hint="eastAsia" w:ascii="仿宋_GB2312" w:hAnsi="仿宋_GB2312" w:eastAsia="仿宋_GB2312" w:cs="仿宋_GB2312"/>
          <w:color w:val="auto"/>
          <w:sz w:val="28"/>
          <w:szCs w:val="28"/>
        </w:rPr>
        <w:t>资源</w:t>
      </w:r>
      <w:r>
        <w:rPr>
          <w:rFonts w:hint="eastAsia" w:ascii="仿宋_GB2312" w:hAnsi="仿宋_GB2312" w:eastAsia="仿宋_GB2312" w:cs="仿宋_GB2312"/>
          <w:color w:val="auto"/>
          <w:sz w:val="28"/>
          <w:szCs w:val="28"/>
          <w:lang w:eastAsia="zh-CN"/>
        </w:rPr>
        <w:t>中间</w:t>
      </w:r>
      <w:r>
        <w:rPr>
          <w:rFonts w:hint="eastAsia" w:ascii="仿宋_GB2312" w:hAnsi="仿宋_GB2312" w:eastAsia="仿宋_GB2312" w:cs="仿宋_GB2312"/>
          <w:color w:val="auto"/>
          <w:sz w:val="28"/>
          <w:szCs w:val="28"/>
        </w:rPr>
        <w:t>库建设按照填平补齐原则，根据扩增保存种质资源的数量等实际需求，补充建设田间工程、购置仪器设备和物联网数据获取与处理系统等。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农业野生植物原生境保护区</w:t>
      </w:r>
      <w:r>
        <w:rPr>
          <w:rFonts w:hint="eastAsia" w:ascii="仿宋_GB2312" w:hAnsi="仿宋_GB2312" w:eastAsia="仿宋_GB2312" w:cs="仿宋_GB2312"/>
          <w:color w:val="auto"/>
          <w:sz w:val="28"/>
          <w:szCs w:val="28"/>
        </w:rPr>
        <w:t>重点建设隔离设施、警示设施、看护设施、防火排灌设施、温室、网室及必要的供电供水设施等，购置数据采集分析设备、通讯巡逻设备、环境监测设备、标本陈列设备、资源监测与管护监控设备等。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改扩建分子育种创新服务平台重点对现有实验室升级改造，购置相关仪器设备，进行种质资源鉴定及基因资源发掘，创建基础性、跨学科和建成分子育种与资源创新科研实验平台。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畜禽种质资源保护利用能力提升依托国家级畜禽保种场、保护库和基因库，收集保存畜禽优秀个体，组件和扩大保种群。重点改造提升畜禽圈舍、购置种质鉴定及性能测定仪器设备等。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畜禽育繁推一体化示范项目</w:t>
      </w:r>
      <w:r>
        <w:rPr>
          <w:rFonts w:hint="eastAsia" w:ascii="仿宋_GB2312" w:hAnsi="仿宋_GB2312" w:eastAsia="仿宋_GB2312" w:cs="仿宋_GB2312"/>
          <w:color w:val="auto"/>
          <w:sz w:val="28"/>
          <w:szCs w:val="28"/>
        </w:rPr>
        <w:t>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地方品种测定站重点建设</w:t>
      </w:r>
      <w:r>
        <w:rPr>
          <w:rFonts w:hint="eastAsia" w:ascii="仿宋_GB2312" w:hAnsi="仿宋_GB2312" w:eastAsia="仿宋_GB2312" w:cs="仿宋_GB2312"/>
          <w:color w:val="auto"/>
          <w:sz w:val="28"/>
          <w:szCs w:val="28"/>
        </w:rPr>
        <w:t>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w:t>
      </w:r>
      <w:r>
        <w:rPr>
          <w:rFonts w:hint="eastAsia" w:ascii="仿宋_GB2312" w:hAnsi="仿宋_GB2312" w:eastAsia="仿宋_GB2312" w:cs="仿宋_GB2312"/>
          <w:color w:val="auto"/>
          <w:sz w:val="28"/>
          <w:szCs w:val="28"/>
        </w:rPr>
        <w:t>主要建设内容包括催产和孵化车间、亲本池、苗种培育池等生产设施，配套进排水、电力、道路等工程，购置常规生物学仪器、水处理系统、养殖设施等。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和企业自筹资金等，其中中央投资规模如下：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农作物种质资源保护利用提升能力提升项目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农作物改扩建分子育种创新服务平台项目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畜禽种质资源保护利用能力提升项目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畜禽育种育繁推一体化示范项目提升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畜禽品种性能测定能力项目提升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畜禽制（繁）种能力提升项目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lang w:eastAsia="zh-CN"/>
        </w:rPr>
        <w:t>（八）</w:t>
      </w:r>
      <w:r>
        <w:rPr>
          <w:rFonts w:hint="eastAsia" w:ascii="楷体_GB2312" w:hAnsi="楷体_GB2312" w:eastAsia="楷体_GB2312" w:cs="楷体_GB2312"/>
          <w:color w:val="auto"/>
          <w:sz w:val="28"/>
          <w:szCs w:val="28"/>
        </w:rPr>
        <w:t>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包括经济效益、社会效益、生态效益。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经济效益：简要列出项目预期的营业(销售)收入、利润、税金，以及投资回收期、财务净现值、财务内部收益率等。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社会效益：概述对当地主导产业发展、产业结构调整带来的影响，突出带动农户的方式、数量、农户增收等情况。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生态效益：项目对当地生态环境的影响及改善情况等。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5、资产与财务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（五）项目建设必要性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4"/>
          <w:sz w:val="28"/>
          <w:szCs w:val="28"/>
        </w:rPr>
        <w:t>1）说明选址地块现使用状况，包括地表(下)建(构)筑物、农业田间工程及设施、农作物种植及其他开发利用等情况。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（一）选择原则和要求</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1、技术方案应满足成熟、适用、可靠和经济合理的要求。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2、包含多个单项工程的项目，应分别说明各单项工程的技术方案。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52" w:name="_Toc30259209"/>
      <w:r>
        <w:rPr>
          <w:rFonts w:hint="eastAsia" w:ascii="楷体_GB2312" w:hAnsi="楷体_GB2312" w:eastAsia="楷体_GB2312" w:cs="楷体_GB2312"/>
          <w:color w:val="auto"/>
          <w:sz w:val="28"/>
          <w:szCs w:val="28"/>
          <w:lang w:eastAsia="zh-CN"/>
        </w:rPr>
        <w:t>（二）生产方法</w:t>
      </w:r>
      <w:bookmarkEnd w:id="152"/>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1、生产方法包括品种选育、栽培种植、养殖、加工、储运、检验检测、试验与研究等方法。</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2、说明生产方法的优缺点及发展趋势，分析其与原材料供应的适应性、技术来源的可得性，是否符合节能和清洁生产的要求。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常规生产方法可简化叙述。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53" w:name="_Toc30259210"/>
      <w:r>
        <w:rPr>
          <w:rFonts w:hint="eastAsia" w:ascii="楷体_GB2312" w:hAnsi="楷体_GB2312" w:eastAsia="楷体_GB2312" w:cs="楷体_GB2312"/>
          <w:color w:val="auto"/>
          <w:sz w:val="28"/>
          <w:szCs w:val="28"/>
          <w:lang w:eastAsia="zh-CN"/>
        </w:rPr>
        <w:t>（三）工艺流程</w:t>
      </w:r>
      <w:bookmarkEnd w:id="153"/>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有多个关联的单项工程、工艺复杂的项目需编制总体生产工艺。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科研</w:t>
      </w:r>
      <w:r>
        <w:rPr>
          <w:rFonts w:hint="eastAsia" w:ascii="仿宋_GB2312" w:hAnsi="仿宋_GB2312" w:eastAsia="仿宋_GB2312" w:cs="仿宋_GB2312"/>
          <w:color w:val="auto"/>
          <w:sz w:val="28"/>
          <w:szCs w:val="28"/>
        </w:rPr>
        <w:t>、加工、灌溉、饲养等生产设备、辅助设备、管理设备等，结合技术流程和规模，说明设备的类型、规格型号、数量、先进性等。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主体工程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包括项目所涉及到的交易设施、加工车间、田间工程、各类圈舍等生产性建筑（构筑物）的面积（数量）、结构类型等。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辅助及其它配套工程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包括管理用房、生活福利用房等建筑物（构筑物）面积（数量）、结构类型等；水、电、气、道路、绿化等工程。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改建、扩建、迁建项目应说明现有辅助工程情况及与项目衔接或可能的利用情况。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1、废气、粉(烟)尘的防治</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2、废水处理</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3、噪声控制</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val="0"/>
        <w:snapToGrid w:val="0"/>
        <w:spacing w:line="41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4、固体废弃物的综合利用及处置</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5、农业面源污染的控制与防治</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6、其他污染的控制及防治</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7、绿化</w:t>
      </w:r>
    </w:p>
    <w:p>
      <w:pPr>
        <w:keepNext w:val="0"/>
        <w:keepLines w:val="0"/>
        <w:pageBreakBefore w:val="0"/>
        <w:widowControl w:val="0"/>
        <w:kinsoku/>
        <w:wordWrap/>
        <w:overflowPunct/>
        <w:topLinePunct w:val="0"/>
        <w:autoSpaceDE/>
        <w:autoSpaceDN/>
        <w:bidi w:val="0"/>
        <w:adjustRightInd w:val="0"/>
        <w:snapToGrid w:val="0"/>
        <w:spacing w:line="41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val="0"/>
        <w:snapToGrid w:val="0"/>
        <w:spacing w:line="41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8、预期效果分析</w:t>
      </w:r>
    </w:p>
    <w:p>
      <w:pPr>
        <w:keepNext w:val="0"/>
        <w:keepLines w:val="0"/>
        <w:pageBreakBefore w:val="0"/>
        <w:widowControl w:val="0"/>
        <w:kinsoku/>
        <w:wordWrap/>
        <w:overflowPunct/>
        <w:topLinePunct w:val="0"/>
        <w:autoSpaceDE/>
        <w:autoSpaceDN/>
        <w:bidi w:val="0"/>
        <w:adjustRightInd w:val="0"/>
        <w:snapToGrid w:val="0"/>
        <w:spacing w:line="41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总投资包括工程建设费、工程建设其他费用、预备费及铺底流动资金。</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1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①</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《农业建设项目投资估算内容和方法》(NY/ T 1716-2009)</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2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3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eastAsia"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4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预备费只计算基本预备费，按土建及田间工程费和设备费的5%估算，不计涨价预备费。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1</w:t>
      </w:r>
      <w:r>
        <w:rPr>
          <w:rFonts w:hint="eastAsia" w:ascii="黑体" w:hAnsi="黑体" w:eastAsia="黑体" w:cs="黑体"/>
          <w:b w:val="0"/>
          <w:bCs w:val="0"/>
          <w:color w:val="auto"/>
          <w:sz w:val="28"/>
          <w:szCs w:val="28"/>
        </w:rPr>
        <w:t xml:space="preserve">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940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35"/>
        <w:gridCol w:w="2307"/>
        <w:gridCol w:w="907"/>
        <w:gridCol w:w="766"/>
        <w:gridCol w:w="1600"/>
        <w:gridCol w:w="1132"/>
        <w:gridCol w:w="971"/>
        <w:gridCol w:w="9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序号</w:t>
            </w:r>
          </w:p>
        </w:tc>
        <w:tc>
          <w:tcPr>
            <w:tcW w:w="2307"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工程和费用名称</w:t>
            </w:r>
          </w:p>
        </w:tc>
        <w:tc>
          <w:tcPr>
            <w:tcW w:w="3273" w:type="dxa"/>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技术经济指标</w:t>
            </w:r>
          </w:p>
        </w:tc>
        <w:tc>
          <w:tcPr>
            <w:tcW w:w="1132"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（万元）</w:t>
            </w:r>
          </w:p>
        </w:tc>
        <w:tc>
          <w:tcPr>
            <w:tcW w:w="971"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占总投资比例（%）</w:t>
            </w:r>
          </w:p>
        </w:tc>
        <w:tc>
          <w:tcPr>
            <w:tcW w:w="983"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单位</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数量</w:t>
            </w: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（万元）</w:t>
            </w:r>
          </w:p>
        </w:tc>
        <w:tc>
          <w:tcPr>
            <w:tcW w:w="1132" w:type="dxa"/>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3</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二、</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建设管理费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工程建设监理费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勘察设计费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预备费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基本预备费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涨价预备费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四、</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铺底流动资金</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五、</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建设期利息</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六、</w:t>
            </w:r>
          </w:p>
        </w:tc>
        <w:tc>
          <w:tcPr>
            <w:tcW w:w="23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907"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楷体_GB2312" w:eastAsia="楷体_GB2312" w:cs="楷体_GB2312"/>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1、资本金筹措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2、债务资金筹措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3、融资方案分析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sectPr>
          <w:footerReference r:id="rId31"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720" w:firstLineChars="20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720" w:firstLineChars="200"/>
        <w:jc w:val="center"/>
        <w:textAlignment w:val="bottom"/>
        <w:outlineLvl w:val="3"/>
        <w:rPr>
          <w:rFonts w:hint="eastAsia" w:ascii="方正小标宋简体" w:hAnsi="方正小标宋简体" w:eastAsia="方正小标宋简体" w:cs="方正小标宋简体"/>
          <w:b/>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（现代种业提升工程项</w:t>
      </w:r>
      <w:r>
        <w:rPr>
          <w:rFonts w:hint="eastAsia" w:ascii="方正小标宋简体" w:hAnsi="方正小标宋简体" w:eastAsia="方正小标宋简体" w:cs="方正小标宋简体"/>
          <w:b/>
          <w:color w:val="auto"/>
          <w:sz w:val="36"/>
          <w:szCs w:val="36"/>
          <w:lang w:val="en-US" w:eastAsia="zh-CN"/>
        </w:rPr>
        <w:t>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p>
    <w:tbl>
      <w:tblPr>
        <w:tblStyle w:val="14"/>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拟开工时间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建设年限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总投资</w:t>
            </w:r>
            <w:r>
              <w:rPr>
                <w:rFonts w:hint="eastAsia" w:ascii="黑体" w:hAnsi="黑体" w:eastAsia="黑体" w:cs="黑体"/>
                <w:i w:val="0"/>
                <w:color w:val="auto"/>
                <w:kern w:val="0"/>
                <w:sz w:val="22"/>
                <w:szCs w:val="22"/>
                <w:u w:val="none"/>
                <w:lang w:val="en-US" w:eastAsia="zh-CN" w:bidi="ar"/>
              </w:rPr>
              <w:br w:type="textWrapping"/>
            </w:r>
            <w:r>
              <w:rPr>
                <w:rFonts w:hint="eastAsia" w:ascii="黑体" w:hAnsi="黑体" w:eastAsia="黑体" w:cs="黑体"/>
                <w:i w:val="0"/>
                <w:color w:val="auto"/>
                <w:kern w:val="0"/>
                <w:sz w:val="22"/>
                <w:szCs w:val="22"/>
                <w:u w:val="none"/>
                <w:lang w:val="en-US" w:eastAsia="zh-CN" w:bidi="ar"/>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xx县xx镇xx村</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改建/新建/扩建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xx县xx镇xx村</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附件1.</w:t>
      </w:r>
      <w:r>
        <w:rPr>
          <w:rFonts w:hint="eastAsia" w:ascii="仿宋_GB2312" w:hAnsi="仿宋_GB2312" w:eastAsia="仿宋_GB2312" w:cs="仿宋_GB2312"/>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项目单位近两年财务审计报表</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企业信用等级证明和荣誉证书</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4</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新技术，新工艺等科技证明材料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5</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6</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rPr>
        <w:t>.</w:t>
      </w:r>
      <w:r>
        <w:rPr>
          <w:rFonts w:hint="eastAsia" w:ascii="仿宋_GB2312" w:hAnsi="仿宋_GB2312" w:eastAsia="仿宋_GB2312" w:cs="仿宋_GB2312"/>
          <w:b w:val="0"/>
          <w:bCs/>
          <w:color w:val="auto"/>
          <w:sz w:val="28"/>
          <w:szCs w:val="28"/>
          <w:lang w:val="en-US" w:eastAsia="zh-CN"/>
        </w:rPr>
        <w:t>工程</w:t>
      </w:r>
      <w:r>
        <w:rPr>
          <w:rFonts w:hint="eastAsia" w:ascii="仿宋_GB2312" w:hAnsi="仿宋_GB2312" w:eastAsia="仿宋_GB2312" w:cs="仿宋_GB2312"/>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rPr>
        <w:t>.其它附图</w:t>
      </w:r>
    </w:p>
    <w:p>
      <w:pPr>
        <w:ind w:left="0" w:leftChars="0" w:firstLine="0" w:firstLineChars="0"/>
        <w:rPr>
          <w:rFonts w:hint="default"/>
          <w:lang w:val="en-US" w:eastAsia="zh-CN"/>
        </w:rPr>
      </w:pPr>
      <w:r>
        <w:rPr>
          <w:rFonts w:hint="default"/>
          <w:lang w:val="en-US" w:eastAsia="zh-CN"/>
        </w:rPr>
        <w:br w:type="page"/>
      </w:r>
      <w:r>
        <w:rPr>
          <w:rStyle w:val="17"/>
          <w:rFonts w:hint="eastAsia" w:cs="Times New Roman"/>
          <w:lang w:val="en-US" w:eastAsia="zh-CN"/>
        </w:rPr>
        <w:t>附件5-3</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广东省农业监测和检测项目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adjustRightInd/>
        <w:snapToGrid/>
        <w:spacing w:line="240" w:lineRule="auto"/>
        <w:ind w:firstLine="0" w:firstLineChars="0"/>
        <w:rPr>
          <w:rFonts w:ascii="Times New Roman" w:hAnsi="Times New Roman" w:eastAsia="宋体" w:cs="Times New Roman"/>
          <w:color w:val="auto"/>
          <w:sz w:val="21"/>
          <w:szCs w:val="22"/>
        </w:rPr>
      </w:pPr>
    </w:p>
    <w:p>
      <w:pPr>
        <w:pStyle w:val="2"/>
        <w:rPr>
          <w:rFonts w:ascii="Times New Roman" w:hAnsi="Times New Roman" w:eastAsia="宋体" w:cs="Times New Roman"/>
          <w:color w:val="auto"/>
          <w:sz w:val="21"/>
          <w:szCs w:val="22"/>
        </w:rPr>
      </w:pPr>
    </w:p>
    <w:p>
      <w:pPr>
        <w:pStyle w:val="2"/>
        <w:rPr>
          <w:rFonts w:ascii="Times New Roman" w:hAnsi="Times New Roman" w:eastAsia="宋体" w:cs="Times New Roman"/>
          <w:color w:val="auto"/>
          <w:sz w:val="21"/>
          <w:szCs w:val="2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32"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339"/>
          <w:cols w:space="0" w:num="1"/>
          <w:rtlGutter w:val="0"/>
          <w:docGrid w:type="lines" w:linePitch="595" w:charSpace="0"/>
        </w:sectPr>
      </w:pPr>
    </w:p>
    <w:p>
      <w:pPr>
        <w:adjustRightInd/>
        <w:snapToGrid w:val="0"/>
        <w:spacing w:line="288" w:lineRule="auto"/>
        <w:ind w:firstLine="536" w:firstLineChars="0"/>
        <w:rPr>
          <w:rFonts w:ascii="Times New Roman" w:hAnsi="Times New Roman" w:eastAsia="宋体" w:cs="Times New Roman"/>
          <w:sz w:val="28"/>
          <w:szCs w:val="28"/>
        </w:rPr>
      </w:pPr>
    </w:p>
    <w:p>
      <w:pPr>
        <w:adjustRightInd w:val="0"/>
        <w:snapToGrid w:val="0"/>
        <w:spacing w:line="590" w:lineRule="exact"/>
        <w:ind w:firstLine="538" w:firstLineChars="200"/>
        <w:rPr>
          <w:rFonts w:hint="eastAsia" w:ascii="黑体" w:hAnsi="黑体" w:eastAsia="黑体" w:cs="黑体"/>
          <w:bCs/>
          <w:kern w:val="0"/>
          <w:sz w:val="28"/>
          <w:szCs w:val="28"/>
        </w:rPr>
      </w:pPr>
      <w:r>
        <w:rPr>
          <w:rFonts w:hint="eastAsia" w:ascii="黑体" w:hAnsi="黑体" w:eastAsia="黑体" w:cs="黑体"/>
          <w:bCs/>
          <w:kern w:val="0"/>
          <w:sz w:val="28"/>
          <w:szCs w:val="28"/>
        </w:rPr>
        <w:t>一、项目单位概况</w:t>
      </w:r>
    </w:p>
    <w:p>
      <w:pPr>
        <w:adjustRightInd/>
        <w:snapToGrid/>
        <w:spacing w:line="360" w:lineRule="auto"/>
        <w:ind w:firstLine="538"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包含单位性质、隶属关系、相关职能业务范围；</w:t>
      </w:r>
    </w:p>
    <w:p>
      <w:pPr>
        <w:adjustRightInd/>
        <w:snapToGrid/>
        <w:spacing w:line="360" w:lineRule="auto"/>
        <w:ind w:firstLine="538"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人员状况，包括</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和子</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的负责人及骨干人员情况和职责,人员情况应增加列表说明;</w:t>
      </w:r>
    </w:p>
    <w:p>
      <w:pPr>
        <w:adjustRightInd/>
        <w:snapToGrid/>
        <w:spacing w:line="360" w:lineRule="auto"/>
        <w:ind w:firstLine="538"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从事过的相关研究和承担的同类项目经验、发明专利及获奖其概况，在国内外主要刊物上发表的与本项目相关的研究成果情况。</w:t>
      </w:r>
    </w:p>
    <w:p>
      <w:pPr>
        <w:keepNext w:val="0"/>
        <w:keepLines w:val="0"/>
        <w:pageBreakBefore w:val="0"/>
        <w:widowControl w:val="0"/>
        <w:kinsoku/>
        <w:wordWrap/>
        <w:overflowPunct/>
        <w:topLinePunct w:val="0"/>
        <w:autoSpaceDE/>
        <w:autoSpaceDN/>
        <w:bidi w:val="0"/>
        <w:adjustRightInd w:val="0"/>
        <w:snapToGrid w:val="0"/>
        <w:spacing w:line="240" w:lineRule="auto"/>
        <w:ind w:firstLine="618" w:firstLineChars="0"/>
        <w:jc w:val="center"/>
        <w:textAlignment w:val="auto"/>
        <w:rPr>
          <w:rFonts w:ascii="Times New Roman" w:hAnsi="Times New Roman" w:eastAsia="黑体" w:cs="Times New Roman"/>
          <w:sz w:val="28"/>
          <w:szCs w:val="22"/>
        </w:rPr>
      </w:pPr>
      <w:r>
        <w:rPr>
          <w:rFonts w:hint="eastAsia" w:ascii="Times New Roman" w:hAnsi="Times New Roman" w:eastAsia="黑体" w:cs="Times New Roman"/>
          <w:bCs/>
          <w:sz w:val="28"/>
          <w:szCs w:val="22"/>
        </w:rPr>
        <w:br w:type="page"/>
      </w:r>
      <w:r>
        <w:rPr>
          <w:rFonts w:hint="eastAsia" w:ascii="方正小标宋简体" w:hAnsi="方正小标宋简体" w:eastAsia="方正小标宋简体" w:cs="方正小标宋简体"/>
          <w:bCs/>
          <w:sz w:val="32"/>
          <w:szCs w:val="32"/>
        </w:rPr>
        <w:t>项目</w:t>
      </w:r>
      <w:r>
        <w:rPr>
          <w:rFonts w:hint="eastAsia" w:ascii="方正小标宋简体" w:hAnsi="方正小标宋简体" w:eastAsia="方正小标宋简体" w:cs="方正小标宋简体"/>
          <w:sz w:val="32"/>
          <w:szCs w:val="32"/>
        </w:rPr>
        <w:t>牵头承担单位基本情况表</w:t>
      </w:r>
    </w:p>
    <w:tbl>
      <w:tblPr>
        <w:tblStyle w:val="14"/>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pPr>
              <w:autoSpaceDE w:val="0"/>
              <w:autoSpaceDN w:val="0"/>
              <w:adjustRightInd w:val="0"/>
              <w:snapToGrid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pPr>
              <w:autoSpaceDE w:val="0"/>
              <w:autoSpaceDN w:val="0"/>
              <w:adjustRightInd w:val="0"/>
              <w:snapToGrid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pPr>
              <w:tabs>
                <w:tab w:val="left" w:pos="360"/>
              </w:tabs>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pPr>
              <w:autoSpaceDE w:val="0"/>
              <w:autoSpaceDN w:val="0"/>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pPr>
              <w:autoSpaceDE w:val="0"/>
              <w:autoSpaceDN w:val="0"/>
              <w:adjustRightInd w:val="0"/>
              <w:snapToGrid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bl>
    <w:p>
      <w:pPr>
        <w:adjustRightInd w:val="0"/>
        <w:snapToGrid w:val="0"/>
        <w:spacing w:line="590" w:lineRule="exact"/>
        <w:rPr>
          <w:rFonts w:hint="eastAsia" w:ascii="Times New Roman" w:hAnsi="Times New Roman" w:eastAsia="黑体" w:cs="黑体"/>
          <w:bCs/>
          <w:kern w:val="0"/>
          <w:sz w:val="32"/>
          <w:szCs w:val="32"/>
        </w:rPr>
        <w:sectPr>
          <w:headerReference r:id="rId35" w:type="first"/>
          <w:footerReference r:id="rId38" w:type="first"/>
          <w:headerReference r:id="rId33" w:type="default"/>
          <w:footerReference r:id="rId36" w:type="default"/>
          <w:headerReference r:id="rId34" w:type="even"/>
          <w:footerReference r:id="rId37" w:type="even"/>
          <w:pgSz w:w="11906" w:h="16838"/>
          <w:pgMar w:top="1701" w:right="1644" w:bottom="1417" w:left="1644" w:header="851" w:footer="867" w:gutter="0"/>
          <w:pgBorders>
            <w:top w:val="none" w:sz="0" w:space="0"/>
            <w:left w:val="none" w:sz="0" w:space="0"/>
            <w:bottom w:val="none" w:sz="0" w:space="0"/>
            <w:right w:val="none" w:sz="0" w:space="0"/>
          </w:pgBorders>
          <w:pgNumType w:fmt="decimal"/>
          <w:cols w:space="720" w:num="1"/>
          <w:docGrid w:type="linesAndChars" w:linePitch="453" w:charSpace="-2457"/>
        </w:sectPr>
      </w:pPr>
    </w:p>
    <w:p>
      <w:pPr>
        <w:adjustRightInd/>
        <w:snapToGrid w:val="0"/>
        <w:spacing w:afterLines="0" w:line="300" w:lineRule="auto"/>
        <w:ind w:firstLine="0" w:firstLineChars="0"/>
        <w:jc w:val="center"/>
        <w:rPr>
          <w:rFonts w:hint="eastAsia"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pPr>
        <w:autoSpaceDE w:val="0"/>
        <w:autoSpaceDN w:val="0"/>
        <w:adjustRightInd w:val="0"/>
        <w:snapToGrid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4"/>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adjustRightInd w:val="0"/>
              <w:snapToGrid w:val="0"/>
              <w:spacing w:before="65" w:beforeLines="15" w:line="264" w:lineRule="auto"/>
              <w:ind w:left="1314"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pPr>
              <w:autoSpaceDE w:val="0"/>
              <w:autoSpaceDN w:val="0"/>
              <w:adjustRightInd w:val="0"/>
              <w:snapToGrid w:val="0"/>
              <w:spacing w:before="65"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pPr>
              <w:tabs>
                <w:tab w:val="left" w:pos="360"/>
                <w:tab w:val="left" w:pos="1260"/>
              </w:tabs>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0"/>
              </w:rPr>
            </w:pPr>
          </w:p>
        </w:tc>
      </w:tr>
    </w:tbl>
    <w:p>
      <w:pPr>
        <w:adjustRightInd/>
        <w:snapToGrid/>
        <w:spacing w:line="240" w:lineRule="auto"/>
        <w:ind w:firstLine="0" w:firstLineChars="0"/>
        <w:rPr>
          <w:rFonts w:hint="eastAsia" w:ascii="Times New Roman" w:hAnsi="Times New Roman" w:eastAsia="宋体" w:cs="Times New Roman"/>
          <w:sz w:val="21"/>
          <w:szCs w:val="22"/>
        </w:rPr>
      </w:pPr>
      <w:r>
        <w:rPr>
          <w:rFonts w:hint="eastAsia" w:ascii="Times New Roman" w:hAnsi="Times New Roman" w:eastAsia="宋体" w:cs="Times New Roman"/>
          <w:sz w:val="21"/>
          <w:szCs w:val="22"/>
        </w:rPr>
        <w:br w:type="page"/>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二、项目依据和必要性</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（一）项目申报依据</w:t>
      </w:r>
    </w:p>
    <w:p>
      <w:pPr>
        <w:keepNext/>
        <w:keepLines/>
        <w:pageBreakBefore w:val="0"/>
        <w:widowControl w:val="0"/>
        <w:numPr>
          <w:ilvl w:val="2"/>
          <w:numId w:val="0"/>
        </w:numPr>
        <w:kinsoku/>
        <w:wordWrap/>
        <w:overflowPunct/>
        <w:topLinePunct w:val="0"/>
        <w:bidi w:val="0"/>
        <w:spacing w:before="0" w:after="0" w:line="240" w:lineRule="auto"/>
        <w:ind w:leftChars="200" w:right="0" w:rightChars="0" w:firstLine="560" w:firstLineChars="200"/>
        <w:jc w:val="both"/>
        <w:textAlignment w:val="auto"/>
        <w:outlineLvl w:val="2"/>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填写申请项目立项的背景、政策依据及拟解决的问题等。</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（二）项目必要性分析</w:t>
      </w:r>
    </w:p>
    <w:p>
      <w:pPr>
        <w:keepNext/>
        <w:keepLines/>
        <w:pageBreakBefore w:val="0"/>
        <w:widowControl w:val="0"/>
        <w:numPr>
          <w:ilvl w:val="2"/>
          <w:numId w:val="0"/>
        </w:numPr>
        <w:kinsoku/>
        <w:wordWrap/>
        <w:overflowPunct/>
        <w:topLinePunct w:val="0"/>
        <w:bidi w:val="0"/>
        <w:spacing w:before="0" w:after="0" w:line="240" w:lineRule="auto"/>
        <w:ind w:leftChars="200" w:right="0" w:rightChars="0" w:firstLine="560" w:firstLineChars="200"/>
        <w:jc w:val="both"/>
        <w:textAlignment w:val="auto"/>
        <w:outlineLvl w:val="2"/>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说明项目实施对完成农业农村领域特定工作任务或促事业发展的意义与作用。拟实施内容与广东省相关农业监测、检测工作任务或事业发展计划之间的关联性等。</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三、项目目标和主要内容</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（一）项目目标</w:t>
      </w:r>
    </w:p>
    <w:p>
      <w:pPr>
        <w:keepNext/>
        <w:keepLines/>
        <w:pageBreakBefore w:val="0"/>
        <w:widowControl w:val="0"/>
        <w:numPr>
          <w:ilvl w:val="2"/>
          <w:numId w:val="0"/>
        </w:numPr>
        <w:kinsoku/>
        <w:wordWrap/>
        <w:overflowPunct/>
        <w:topLinePunct w:val="0"/>
        <w:bidi w:val="0"/>
        <w:spacing w:before="0" w:after="0" w:line="240" w:lineRule="auto"/>
        <w:ind w:leftChars="200" w:right="0" w:rightChars="0" w:firstLine="560" w:firstLineChars="200"/>
        <w:jc w:val="both"/>
        <w:textAlignment w:val="auto"/>
        <w:outlineLvl w:val="2"/>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1.对项目总体目标进行描述，包括项目要达到的目标，实现何种结果、得出何种结论等。</w:t>
      </w:r>
    </w:p>
    <w:p>
      <w:pPr>
        <w:keepNext/>
        <w:keepLines/>
        <w:pageBreakBefore w:val="0"/>
        <w:widowControl w:val="0"/>
        <w:numPr>
          <w:ilvl w:val="2"/>
          <w:numId w:val="0"/>
        </w:numPr>
        <w:kinsoku/>
        <w:wordWrap/>
        <w:overflowPunct/>
        <w:topLinePunct w:val="0"/>
        <w:bidi w:val="0"/>
        <w:spacing w:before="0" w:after="0" w:line="240" w:lineRule="auto"/>
        <w:ind w:leftChars="200" w:right="0" w:rightChars="0" w:firstLine="560" w:firstLineChars="200"/>
        <w:jc w:val="both"/>
        <w:textAlignment w:val="auto"/>
        <w:outlineLvl w:val="2"/>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 xml:space="preserve">2.对具体绩效目标进行描述，全面反映项目实施内容和效果，绩效目标需清晰明确量化，便于进行考核。 </w:t>
      </w:r>
    </w:p>
    <w:p>
      <w:pPr>
        <w:keepNext/>
        <w:keepLines/>
        <w:pageBreakBefore w:val="0"/>
        <w:widowControl w:val="0"/>
        <w:numPr>
          <w:ilvl w:val="2"/>
          <w:numId w:val="0"/>
        </w:numPr>
        <w:kinsoku/>
        <w:wordWrap/>
        <w:overflowPunct/>
        <w:topLinePunct w:val="0"/>
        <w:bidi w:val="0"/>
        <w:spacing w:before="0" w:after="0" w:line="240" w:lineRule="auto"/>
        <w:ind w:leftChars="200" w:right="0" w:rightChars="0" w:firstLine="560" w:firstLineChars="200"/>
        <w:jc w:val="both"/>
        <w:textAlignment w:val="auto"/>
        <w:outlineLvl w:val="2"/>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填写附表1：预算绩效目标申报表</w:t>
      </w:r>
    </w:p>
    <w:p>
      <w:pPr>
        <w:pageBreakBefore w:val="0"/>
        <w:kinsoku/>
        <w:wordWrap/>
        <w:overflowPunct/>
        <w:topLinePunct w:val="0"/>
        <w:bidi w:val="0"/>
        <w:adjustRightInd/>
        <w:snapToGrid/>
        <w:spacing w:line="240" w:lineRule="auto"/>
        <w:ind w:right="0" w:rightChars="0" w:firstLine="420" w:firstLineChars="150"/>
        <w:textAlignment w:val="auto"/>
        <w:outlineLvl w:val="1"/>
        <w:rPr>
          <w:rFonts w:hint="eastAsia" w:ascii="仿宋_GB2312" w:hAnsi="仿宋_GB2312" w:eastAsia="仿宋_GB2312" w:cs="仿宋_GB2312"/>
          <w:bCs/>
          <w:color w:val="auto"/>
          <w:kern w:val="0"/>
          <w:sz w:val="28"/>
          <w:szCs w:val="28"/>
          <w:highlight w:val="none"/>
        </w:rPr>
      </w:pPr>
      <w:r>
        <w:rPr>
          <w:rFonts w:hint="eastAsia" w:ascii="仿宋_GB2312" w:hAnsi="仿宋_GB2312" w:eastAsia="仿宋_GB2312" w:cs="仿宋_GB2312"/>
          <w:bCs/>
          <w:color w:val="auto"/>
          <w:kern w:val="0"/>
          <w:sz w:val="28"/>
          <w:szCs w:val="28"/>
          <w:highlight w:val="none"/>
        </w:rPr>
        <w:t>（二）项目实施内容</w:t>
      </w:r>
    </w:p>
    <w:p>
      <w:pPr>
        <w:pageBreakBefore w:val="0"/>
        <w:kinsoku/>
        <w:wordWrap/>
        <w:overflowPunct/>
        <w:topLinePunct w:val="0"/>
        <w:bidi w:val="0"/>
        <w:adjustRightInd/>
        <w:snapToGrid/>
        <w:spacing w:line="240" w:lineRule="auto"/>
        <w:ind w:right="0" w:rightChars="0" w:firstLine="626" w:firstLineChars="223"/>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 xml:space="preserve"> 项目主要完成的农业监测、检测任务工作内容情况。</w:t>
      </w:r>
      <w:r>
        <w:rPr>
          <w:rFonts w:hint="eastAsia" w:ascii="仿宋_GB2312" w:hAnsi="仿宋_GB2312" w:eastAsia="仿宋_GB2312" w:cs="仿宋_GB2312"/>
          <w:color w:val="auto"/>
          <w:sz w:val="28"/>
          <w:szCs w:val="28"/>
          <w:highlight w:val="none"/>
        </w:rPr>
        <w:t>开展XX监测，监测点XX个，XX品种风险监测（例行监测/专项监测/能力验证等）/监督抽查/……，监测、检测覆盖范围，监测、检测内容，并完成监测结果的汇总分析。</w:t>
      </w:r>
    </w:p>
    <w:p>
      <w:pPr>
        <w:pageBreakBefore w:val="0"/>
        <w:widowControl w:val="0"/>
        <w:kinsoku/>
        <w:wordWrap/>
        <w:overflowPunct/>
        <w:topLinePunct w:val="0"/>
        <w:autoSpaceDE/>
        <w:autoSpaceDN/>
        <w:bidi w:val="0"/>
        <w:adjustRightInd w:val="0"/>
        <w:snapToGrid w:val="0"/>
        <w:spacing w:line="240" w:lineRule="auto"/>
        <w:ind w:right="0" w:rightChars="0" w:firstLine="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1.XX监测主要任务内容</w:t>
      </w:r>
    </w:p>
    <w:p>
      <w:pPr>
        <w:keepNext/>
        <w:keepLines/>
        <w:pageBreakBefore w:val="0"/>
        <w:widowControl w:val="0"/>
        <w:numPr>
          <w:ilvl w:val="2"/>
          <w:numId w:val="0"/>
        </w:numPr>
        <w:kinsoku/>
        <w:wordWrap/>
        <w:overflowPunct/>
        <w:topLinePunct w:val="0"/>
        <w:autoSpaceDE/>
        <w:autoSpaceDN/>
        <w:bidi w:val="0"/>
        <w:adjustRightInd w:val="0"/>
        <w:snapToGrid w:val="0"/>
        <w:spacing w:before="0" w:after="0" w:line="240" w:lineRule="auto"/>
        <w:ind w:right="0" w:rightChars="0" w:firstLine="840" w:firstLineChars="300"/>
        <w:jc w:val="both"/>
        <w:textAlignment w:val="auto"/>
        <w:outlineLvl w:val="2"/>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2.XX监测主要任务内容</w:t>
      </w:r>
    </w:p>
    <w:p>
      <w:pPr>
        <w:pageBreakBefore w:val="0"/>
        <w:widowControl w:val="0"/>
        <w:kinsoku/>
        <w:wordWrap/>
        <w:overflowPunct/>
        <w:topLinePunct w:val="0"/>
        <w:autoSpaceDE/>
        <w:autoSpaceDN/>
        <w:bidi w:val="0"/>
        <w:adjustRightInd w:val="0"/>
        <w:snapToGrid w:val="0"/>
        <w:spacing w:line="240" w:lineRule="auto"/>
        <w:ind w:right="0" w:rightChars="0" w:firstLine="396"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3. XX检测主要任务内容</w:t>
      </w:r>
    </w:p>
    <w:p>
      <w:pPr>
        <w:pStyle w:val="18"/>
        <w:pageBreakBefore w:val="0"/>
        <w:kinsoku/>
        <w:wordWrap/>
        <w:overflowPunct/>
        <w:topLinePunct w:val="0"/>
        <w:bidi w:val="0"/>
        <w:spacing w:line="240" w:lineRule="auto"/>
        <w:ind w:right="0" w:righ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pageBreakBefore w:val="0"/>
        <w:kinsoku/>
        <w:wordWrap/>
        <w:overflowPunct/>
        <w:topLinePunct w:val="0"/>
        <w:bidi w:val="0"/>
        <w:adjustRightInd/>
        <w:snapToGrid/>
        <w:spacing w:line="240" w:lineRule="auto"/>
        <w:ind w:right="0" w:rightChars="0" w:firstLine="840" w:firstLineChars="3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18"/>
        <w:pageBreakBefore w:val="0"/>
        <w:kinsoku/>
        <w:wordWrap/>
        <w:overflowPunct/>
        <w:topLinePunct w:val="0"/>
        <w:bidi w:val="0"/>
        <w:spacing w:line="240" w:lineRule="auto"/>
        <w:ind w:right="0" w:rightChars="0"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highlight w:val="none"/>
        </w:rPr>
        <w:t>并</w:t>
      </w:r>
      <w:r>
        <w:rPr>
          <w:rFonts w:hint="eastAsia" w:ascii="仿宋_GB2312" w:hAnsi="仿宋_GB2312" w:eastAsia="仿宋_GB2312" w:cs="仿宋_GB2312"/>
          <w:color w:val="auto"/>
          <w:kern w:val="2"/>
          <w:sz w:val="28"/>
          <w:szCs w:val="28"/>
          <w:highlight w:val="none"/>
        </w:rPr>
        <w:t>出具40批次亲本质量检测报告和200批次苗种药物残留检测报告。</w:t>
      </w:r>
    </w:p>
    <w:p>
      <w:pPr>
        <w:pStyle w:val="18"/>
        <w:pageBreakBefore w:val="0"/>
        <w:kinsoku/>
        <w:wordWrap/>
        <w:overflowPunct/>
        <w:topLinePunct w:val="0"/>
        <w:bidi w:val="0"/>
        <w:spacing w:line="240" w:lineRule="auto"/>
        <w:ind w:right="0" w:rightChars="0"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3. 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18"/>
        <w:pageBreakBefore w:val="0"/>
        <w:kinsoku/>
        <w:wordWrap/>
        <w:overflowPunct/>
        <w:topLinePunct w:val="0"/>
        <w:bidi w:val="0"/>
        <w:spacing w:line="240" w:lineRule="auto"/>
        <w:ind w:right="0" w:rightChars="0"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四、项目设计及技术方法</w:t>
      </w:r>
    </w:p>
    <w:p>
      <w:pPr>
        <w:pageBreakBefore w:val="0"/>
        <w:kinsoku/>
        <w:wordWrap/>
        <w:overflowPunct/>
        <w:topLinePunct w:val="0"/>
        <w:bidi w:val="0"/>
        <w:adjustRightInd/>
        <w:snapToGrid/>
        <w:spacing w:line="240" w:lineRule="auto"/>
        <w:ind w:right="0" w:rightChars="0" w:firstLine="640" w:firstLineChars="200"/>
        <w:textAlignment w:val="auto"/>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（一）监测/检测项目设计</w:t>
      </w:r>
    </w:p>
    <w:p>
      <w:pPr>
        <w:pageBreakBefore w:val="0"/>
        <w:kinsoku/>
        <w:wordWrap/>
        <w:overflowPunct/>
        <w:topLinePunct w:val="0"/>
        <w:bidi w:val="0"/>
        <w:adjustRightInd/>
        <w:snapToGrid/>
        <w:spacing w:line="240" w:lineRule="auto"/>
        <w:ind w:right="0" w:rightChars="0" w:firstLine="624" w:firstLineChars="223"/>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如何开展监测/检测工作，包括采样点/监测点选取、采样数量依据及合理性、采样样本类型、采样数据加工整理、采样人员安排、监测检测对象及内容等。</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（二）监测/检测技术方法</w:t>
      </w:r>
    </w:p>
    <w:p>
      <w:pPr>
        <w:pageBreakBefore w:val="0"/>
        <w:kinsoku/>
        <w:wordWrap/>
        <w:overflowPunct/>
        <w:topLinePunct w:val="0"/>
        <w:bidi w:val="0"/>
        <w:adjustRightInd/>
        <w:snapToGrid/>
        <w:spacing w:line="240" w:lineRule="auto"/>
        <w:ind w:right="0" w:rightChars="0" w:firstLine="536"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详细描述需要采用的监测检测设备、技术方法等</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highlight w:val="none"/>
        </w:rPr>
      </w:pPr>
      <w:r>
        <w:rPr>
          <w:rFonts w:hint="eastAsia" w:ascii="仿宋_GB2312" w:hAnsi="仿宋_GB2312" w:eastAsia="仿宋_GB2312" w:cs="仿宋_GB2312"/>
          <w:bCs/>
          <w:color w:val="auto"/>
          <w:kern w:val="0"/>
          <w:sz w:val="28"/>
          <w:szCs w:val="28"/>
          <w:highlight w:val="none"/>
        </w:rPr>
        <w:t>（三）监测/检测工作流程</w:t>
      </w:r>
    </w:p>
    <w:p>
      <w:pPr>
        <w:pStyle w:val="18"/>
        <w:pageBreakBefore w:val="0"/>
        <w:kinsoku/>
        <w:wordWrap/>
        <w:overflowPunct/>
        <w:topLinePunct w:val="0"/>
        <w:bidi w:val="0"/>
        <w:spacing w:line="240" w:lineRule="auto"/>
        <w:ind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简要说明检测/监测项目任务涉及的工作环节、工作流程及相关环节流程的具体工作事项内容，包括方案论证、采样安排、化验测试、上报数据、出具监测报告等。</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黑体"/>
          <w:bCs/>
          <w:kern w:val="0"/>
          <w:sz w:val="28"/>
          <w:szCs w:val="28"/>
          <w:highlight w:val="none"/>
        </w:rPr>
      </w:pPr>
      <w:r>
        <w:rPr>
          <w:rFonts w:hint="eastAsia" w:ascii="黑体" w:hAnsi="黑体" w:eastAsia="黑体" w:cs="黑体"/>
          <w:bCs/>
          <w:kern w:val="0"/>
          <w:sz w:val="28"/>
          <w:szCs w:val="28"/>
          <w:highlight w:val="none"/>
        </w:rPr>
        <w:t>五、项目组织实施和可行性</w:t>
      </w:r>
    </w:p>
    <w:p>
      <w:pPr>
        <w:keepNext w:val="0"/>
        <w:keepLines w:val="0"/>
        <w:pageBreakBefore w:val="0"/>
        <w:widowControl w:val="0"/>
        <w:kinsoku/>
        <w:wordWrap/>
        <w:overflowPunct/>
        <w:topLinePunct w:val="0"/>
        <w:bidi w:val="0"/>
        <w:adjustRightInd w:val="0"/>
        <w:snapToGrid w:val="0"/>
        <w:spacing w:line="36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highlight w:val="none"/>
        </w:rPr>
      </w:pPr>
      <w:r>
        <w:rPr>
          <w:rFonts w:hint="eastAsia" w:ascii="仿宋_GB2312" w:hAnsi="仿宋_GB2312" w:eastAsia="仿宋_GB2312" w:cs="仿宋_GB2312"/>
          <w:bCs/>
          <w:color w:val="auto"/>
          <w:kern w:val="0"/>
          <w:sz w:val="28"/>
          <w:szCs w:val="28"/>
          <w:highlight w:val="none"/>
        </w:rPr>
        <w:t>（一）项目组织实施方式</w:t>
      </w:r>
    </w:p>
    <w:p>
      <w:pPr>
        <w:keepNext w:val="0"/>
        <w:keepLines w:val="0"/>
        <w:pageBreakBefore w:val="0"/>
        <w:widowControl w:val="0"/>
        <w:kinsoku/>
        <w:wordWrap/>
        <w:overflowPunct/>
        <w:topLinePunct w:val="0"/>
        <w:bidi w:val="0"/>
        <w:adjustRightInd w:val="0"/>
        <w:snapToGrid w:val="0"/>
        <w:spacing w:line="360" w:lineRule="auto"/>
        <w:ind w:right="0" w:rightChars="0" w:firstLine="562" w:firstLineChars="200"/>
        <w:textAlignment w:val="auto"/>
        <w:rPr>
          <w:rFonts w:hint="eastAsia" w:ascii="仿宋_GB2312" w:hAnsi="仿宋_GB2312" w:eastAsia="仿宋_GB2312" w:cs="仿宋_GB2312"/>
          <w:b/>
          <w:color w:val="auto"/>
          <w:kern w:val="0"/>
          <w:sz w:val="28"/>
          <w:szCs w:val="28"/>
          <w:highlight w:val="none"/>
        </w:rPr>
      </w:pPr>
      <w:r>
        <w:rPr>
          <w:rFonts w:hint="eastAsia" w:ascii="仿宋_GB2312" w:hAnsi="仿宋_GB2312" w:eastAsia="仿宋_GB2312" w:cs="仿宋_GB2312"/>
          <w:b/>
          <w:color w:val="auto"/>
          <w:kern w:val="0"/>
          <w:sz w:val="28"/>
          <w:szCs w:val="28"/>
          <w:highlight w:val="none"/>
        </w:rPr>
        <w:t>1.项目分包、采购或招投标情况</w:t>
      </w:r>
    </w:p>
    <w:p>
      <w:pPr>
        <w:pStyle w:val="18"/>
        <w:keepNext w:val="0"/>
        <w:keepLines w:val="0"/>
        <w:pageBreakBefore w:val="0"/>
        <w:widowControl w:val="0"/>
        <w:kinsoku/>
        <w:wordWrap/>
        <w:overflowPunct/>
        <w:topLinePunct w:val="0"/>
        <w:bidi w:val="0"/>
        <w:adjustRightInd w:val="0"/>
        <w:snapToGrid w:val="0"/>
        <w:spacing w:line="360" w:lineRule="auto"/>
        <w:ind w:right="0" w:rightChars="0" w:firstLine="560" w:firstLineChars="200"/>
        <w:textAlignment w:val="auto"/>
        <w:rPr>
          <w:rFonts w:hint="eastAsia" w:ascii="仿宋_GB2312" w:hAnsi="仿宋_GB2312" w:eastAsia="仿宋_GB2312" w:cs="仿宋_GB2312"/>
          <w:bCs/>
          <w:color w:val="auto"/>
          <w:kern w:val="2"/>
          <w:sz w:val="28"/>
          <w:szCs w:val="28"/>
          <w:highlight w:val="none"/>
        </w:rPr>
      </w:pPr>
      <w:r>
        <w:rPr>
          <w:rFonts w:hint="eastAsia" w:ascii="仿宋_GB2312" w:hAnsi="仿宋_GB2312" w:eastAsia="仿宋_GB2312" w:cs="仿宋_GB2312"/>
          <w:bCs/>
          <w:color w:val="auto"/>
          <w:kern w:val="2"/>
          <w:sz w:val="28"/>
          <w:szCs w:val="28"/>
          <w:highlight w:val="none"/>
        </w:rPr>
        <w:t>项目是否存在分包，若存在详细描述分包情况；项目是否需要采用政府采购招标方式开展实施，若存在详细描述采购内容、采购方式、采购金额等情况。</w:t>
      </w:r>
    </w:p>
    <w:p>
      <w:pPr>
        <w:keepNext w:val="0"/>
        <w:keepLines w:val="0"/>
        <w:pageBreakBefore w:val="0"/>
        <w:widowControl w:val="0"/>
        <w:kinsoku/>
        <w:wordWrap/>
        <w:overflowPunct/>
        <w:topLinePunct w:val="0"/>
        <w:bidi w:val="0"/>
        <w:adjustRightInd w:val="0"/>
        <w:snapToGrid w:val="0"/>
        <w:spacing w:line="360" w:lineRule="auto"/>
        <w:ind w:right="0" w:rightChars="0"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kern w:val="0"/>
          <w:sz w:val="28"/>
          <w:szCs w:val="28"/>
          <w:highlight w:val="none"/>
        </w:rPr>
        <w:t>2.</w:t>
      </w:r>
      <w:r>
        <w:rPr>
          <w:rFonts w:hint="eastAsia" w:ascii="仿宋_GB2312" w:hAnsi="仿宋_GB2312" w:eastAsia="仿宋_GB2312" w:cs="仿宋_GB2312"/>
          <w:b/>
          <w:color w:val="auto"/>
          <w:sz w:val="28"/>
          <w:szCs w:val="28"/>
          <w:highlight w:val="none"/>
        </w:rPr>
        <w:t>项目实施计划进度安排</w:t>
      </w:r>
    </w:p>
    <w:p>
      <w:pPr>
        <w:keepNext w:val="0"/>
        <w:keepLines w:val="0"/>
        <w:pageBreakBefore w:val="0"/>
        <w:widowControl w:val="0"/>
        <w:kinsoku/>
        <w:wordWrap/>
        <w:overflowPunct/>
        <w:topLinePunct w:val="0"/>
        <w:bidi w:val="0"/>
        <w:adjustRightInd w:val="0"/>
        <w:snapToGrid w:val="0"/>
        <w:spacing w:line="360" w:lineRule="auto"/>
        <w:ind w:right="0" w:rightChars="0"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说明项目实施周期，并按照项目实施关键节点阶段来撰写，思路通顺，把项目实施进度情况说明清楚，包括项目完工、验收（初验、终验等）情况，预计验收时间等。</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表：项目实施进度计划表</w:t>
      </w:r>
    </w:p>
    <w:tbl>
      <w:tblPr>
        <w:tblStyle w:val="14"/>
        <w:tblW w:w="8522" w:type="dxa"/>
        <w:jc w:val="center"/>
        <w:shd w:val="clear" w:color="auto" w:fill="auto"/>
        <w:tblLayout w:type="fixed"/>
        <w:tblCellMar>
          <w:top w:w="0" w:type="dxa"/>
          <w:left w:w="108" w:type="dxa"/>
          <w:bottom w:w="0" w:type="dxa"/>
          <w:right w:w="108" w:type="dxa"/>
        </w:tblCellMar>
      </w:tblPr>
      <w:tblGrid>
        <w:gridCol w:w="1065"/>
        <w:gridCol w:w="1737"/>
        <w:gridCol w:w="2984"/>
        <w:gridCol w:w="2736"/>
      </w:tblGrid>
      <w:tr>
        <w:tblPrEx>
          <w:shd w:val="clear" w:color="auto" w:fill="auto"/>
          <w:tblCellMar>
            <w:top w:w="0" w:type="dxa"/>
            <w:left w:w="108" w:type="dxa"/>
            <w:bottom w:w="0" w:type="dxa"/>
            <w:right w:w="108" w:type="dxa"/>
          </w:tblCellMar>
        </w:tblPrEx>
        <w:trPr>
          <w:trHeight w:val="578" w:hRule="atLeast"/>
          <w:tblHeader/>
          <w:jc w:val="cent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b/>
                <w:bCs/>
                <w:kern w:val="0"/>
                <w:sz w:val="21"/>
                <w:szCs w:val="21"/>
              </w:rPr>
            </w:pPr>
            <w:r>
              <w:rPr>
                <w:rFonts w:hint="eastAsia" w:ascii="Times New Roman" w:hAnsi="Times New Roman" w:eastAsia="宋体" w:cs="宋体"/>
                <w:b/>
                <w:bCs/>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b/>
                <w:bCs/>
                <w:kern w:val="0"/>
                <w:sz w:val="21"/>
                <w:szCs w:val="21"/>
              </w:rPr>
            </w:pPr>
            <w:r>
              <w:rPr>
                <w:rFonts w:hint="eastAsia" w:ascii="Times New Roman" w:hAnsi="Times New Roman" w:eastAsia="宋体" w:cs="宋体"/>
                <w:b/>
                <w:bCs/>
                <w:kern w:val="0"/>
                <w:sz w:val="21"/>
                <w:szCs w:val="21"/>
              </w:rPr>
              <w:t>实施</w:t>
            </w:r>
            <w:r>
              <w:rPr>
                <w:rFonts w:ascii="Times New Roman" w:hAnsi="Times New Roman" w:eastAsia="宋体" w:cs="宋体"/>
                <w:b/>
                <w:bCs/>
                <w:kern w:val="0"/>
                <w:sz w:val="21"/>
                <w:szCs w:val="21"/>
              </w:rPr>
              <w:t>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b/>
                <w:bCs/>
                <w:kern w:val="0"/>
                <w:sz w:val="21"/>
                <w:szCs w:val="21"/>
              </w:rPr>
            </w:pPr>
            <w:r>
              <w:rPr>
                <w:rFonts w:hint="eastAsia" w:ascii="Times New Roman" w:hAnsi="Times New Roman" w:eastAsia="宋体" w:cs="宋体"/>
                <w:b/>
                <w:bCs/>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b/>
                <w:bCs/>
                <w:kern w:val="0"/>
                <w:sz w:val="21"/>
                <w:szCs w:val="21"/>
              </w:rPr>
            </w:pPr>
            <w:r>
              <w:rPr>
                <w:rFonts w:hint="eastAsia" w:ascii="Times New Roman" w:hAnsi="Times New Roman" w:eastAsia="宋体" w:cs="宋体"/>
                <w:b/>
                <w:bCs/>
                <w:kern w:val="0"/>
                <w:sz w:val="21"/>
                <w:szCs w:val="21"/>
              </w:rPr>
              <w:t>工作进度</w:t>
            </w: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hint="eastAsia" w:ascii="Times New Roman" w:hAnsi="Times New Roman" w:eastAsia="宋体" w:cs="宋体"/>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r>
              <w:rPr>
                <w:rFonts w:ascii="Times New Roman" w:hAnsi="Times New Roman" w:eastAsia="宋体" w:cs="宋体"/>
                <w:color w:val="000000"/>
                <w:kern w:val="0"/>
                <w:sz w:val="21"/>
                <w:szCs w:val="21"/>
              </w:rPr>
              <w:t>1</w:t>
            </w:r>
            <w:r>
              <w:rPr>
                <w:rFonts w:hint="eastAsia" w:ascii="Times New Roman" w:hAnsi="Times New Roman" w:eastAsia="宋体" w:cs="宋体"/>
                <w:color w:val="000000"/>
                <w:kern w:val="0"/>
                <w:sz w:val="21"/>
                <w:szCs w:val="21"/>
              </w:rPr>
              <w:t>0</w:t>
            </w:r>
          </w:p>
        </w:tc>
        <w:tc>
          <w:tcPr>
            <w:tcW w:w="1737"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bidi w:val="0"/>
              <w:adjustRightInd/>
              <w:snapToGrid/>
              <w:spacing w:line="240" w:lineRule="auto"/>
              <w:ind w:right="0" w:rightChars="0" w:firstLine="0" w:firstLineChars="0"/>
              <w:jc w:val="center"/>
              <w:textAlignment w:val="auto"/>
              <w:rPr>
                <w:rFonts w:ascii="Times New Roman" w:hAnsi="Times New Roman" w:eastAsia="宋体" w:cs="宋体"/>
                <w:color w:val="00000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88" w:firstLineChars="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3.项目实施过程中可能的目标、计划调整情况</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88" w:firstLineChars="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如果项目有调整（包括内容、目标等方面）情况，要说明项目调整的依据及可能的原因，调整手续办理等。</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88"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4.项目组织管理创新情况</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88"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 xml:space="preserve"> 简要描述项目组织实施和开展项目的创新点。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（二）项目管理制度</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88" w:firstLineChars="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为推进项目实施遵守已有的规章制度情况，另外需要新制定了的规章和规则情况。如果项目是合同管理，预计需要签订、制定哪些合同，如何对合同单位进行管理。</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（三）财务管理制度</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0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textAlignment w:val="auto"/>
        <w:outlineLvl w:val="1"/>
        <w:rPr>
          <w:rFonts w:hint="eastAsia" w:ascii="仿宋_GB2312" w:hAnsi="仿宋_GB2312" w:eastAsia="仿宋_GB2312" w:cs="仿宋_GB2312"/>
          <w:b w:val="0"/>
          <w:bCs/>
          <w:color w:val="auto"/>
          <w:kern w:val="0"/>
          <w:sz w:val="28"/>
          <w:szCs w:val="28"/>
        </w:rPr>
      </w:pPr>
      <w:r>
        <w:rPr>
          <w:rFonts w:hint="eastAsia" w:ascii="仿宋_GB2312" w:hAnsi="仿宋_GB2312" w:eastAsia="仿宋_GB2312" w:cs="仿宋_GB2312"/>
          <w:b w:val="0"/>
          <w:bCs/>
          <w:color w:val="auto"/>
          <w:kern w:val="0"/>
          <w:sz w:val="28"/>
          <w:szCs w:val="28"/>
        </w:rPr>
        <w:t>（</w:t>
      </w:r>
      <w:r>
        <w:rPr>
          <w:rFonts w:hint="eastAsia" w:ascii="仿宋_GB2312" w:hAnsi="仿宋_GB2312" w:eastAsia="仿宋_GB2312" w:cs="仿宋_GB2312"/>
          <w:b w:val="0"/>
          <w:bCs/>
          <w:color w:val="auto"/>
          <w:kern w:val="0"/>
          <w:sz w:val="28"/>
          <w:szCs w:val="28"/>
          <w:lang w:val="en-US" w:eastAsia="zh-CN"/>
        </w:rPr>
        <w:t>四</w:t>
      </w:r>
      <w:r>
        <w:rPr>
          <w:rFonts w:hint="eastAsia" w:ascii="仿宋_GB2312" w:hAnsi="仿宋_GB2312" w:eastAsia="仿宋_GB2312" w:cs="仿宋_GB2312"/>
          <w:b w:val="0"/>
          <w:bCs/>
          <w:color w:val="auto"/>
          <w:kern w:val="0"/>
          <w:sz w:val="28"/>
          <w:szCs w:val="28"/>
        </w:rPr>
        <w:t>）项目实施条件及保障措施</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1.人员条件</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项目负责人的组织管理能力；项目主要参加人员的姓名、职务、职称、专业、对项目的熟悉情况。项目负责人及项目组成员任务分工等。</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2.基础条件</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3.前期调研</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项目单位在申报前对项目开展的前期调研情况，包括国内国外开展项目的情况、具体方式，有无可直接引用的成果、数据。</w:t>
      </w:r>
    </w:p>
    <w:p>
      <w:pPr>
        <w:keepNext w:val="0"/>
        <w:keepLines w:val="0"/>
        <w:pageBreakBefore w:val="0"/>
        <w:widowControl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4.其他相关条件</w:t>
      </w:r>
    </w:p>
    <w:p>
      <w:pPr>
        <w:pStyle w:val="18"/>
        <w:keepNext w:val="0"/>
        <w:keepLines w:val="0"/>
        <w:pageBreakBefore w:val="0"/>
        <w:widowControl w:val="0"/>
        <w:kinsoku/>
        <w:wordWrap/>
        <w:overflowPunct/>
        <w:topLinePunct w:val="0"/>
        <w:bidi w:val="0"/>
        <w:spacing w:line="240" w:lineRule="auto"/>
        <w:ind w:right="0" w:rightChars="0"/>
        <w:textAlignment w:val="auto"/>
        <w:rPr>
          <w:rFonts w:hint="eastAsia" w:ascii="仿宋_GB2312" w:hAnsi="仿宋_GB2312" w:eastAsia="仿宋_GB2312" w:cs="仿宋_GB2312"/>
          <w:b w:val="0"/>
          <w:bCs/>
          <w:color w:val="auto"/>
          <w:kern w:val="2"/>
          <w:sz w:val="28"/>
          <w:szCs w:val="28"/>
          <w:highlight w:val="none"/>
        </w:rPr>
      </w:pPr>
      <w:r>
        <w:rPr>
          <w:rFonts w:hint="eastAsia" w:ascii="仿宋_GB2312" w:hAnsi="仿宋_GB2312" w:eastAsia="仿宋_GB2312" w:cs="仿宋_GB2312"/>
          <w:b w:val="0"/>
          <w:bCs/>
          <w:color w:val="auto"/>
          <w:kern w:val="2"/>
          <w:sz w:val="28"/>
          <w:szCs w:val="28"/>
          <w:highlight w:val="none"/>
        </w:rPr>
        <w:t xml:space="preserve">    其他具备的实施条件和保障措施。</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六、项目预算及资金来源</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（一）预算编制依据文件</w:t>
      </w:r>
    </w:p>
    <w:p>
      <w:pPr>
        <w:pageBreakBefore w:val="0"/>
        <w:kinsoku/>
        <w:wordWrap/>
        <w:overflowPunct/>
        <w:topLinePunct w:val="0"/>
        <w:bidi w:val="0"/>
        <w:adjustRightInd/>
        <w:snapToGrid/>
        <w:spacing w:line="240" w:lineRule="auto"/>
        <w:ind w:right="0" w:rightChars="0" w:firstLine="20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预算费用支出参考的依据文件，如相关定额、定量、支出标准的依据。</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（二）项目预算总投入情况</w:t>
      </w:r>
    </w:p>
    <w:p>
      <w:pPr>
        <w:pageBreakBefore w:val="0"/>
        <w:kinsoku/>
        <w:wordWrap/>
        <w:overflowPunct/>
        <w:topLinePunct w:val="0"/>
        <w:bidi w:val="0"/>
        <w:adjustRightInd/>
        <w:snapToGrid/>
        <w:spacing w:line="240" w:lineRule="auto"/>
        <w:ind w:right="0" w:rightChars="0" w:firstLine="20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说明申请预算费用总额情况。</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（三）项目预算资金来源的情况</w:t>
      </w:r>
    </w:p>
    <w:p>
      <w:pPr>
        <w:pageBreakBefore w:val="0"/>
        <w:kinsoku/>
        <w:wordWrap/>
        <w:overflowPunct/>
        <w:topLinePunct w:val="0"/>
        <w:bidi w:val="0"/>
        <w:adjustRightInd/>
        <w:snapToGrid/>
        <w:spacing w:line="240" w:lineRule="auto"/>
        <w:ind w:right="0" w:rightChars="0" w:firstLine="840"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1.预计项目预算费用来源，包括省财政资金、自筹资金等。</w:t>
      </w:r>
    </w:p>
    <w:p>
      <w:pPr>
        <w:pageBreakBefore w:val="0"/>
        <w:kinsoku/>
        <w:wordWrap/>
        <w:overflowPunct/>
        <w:topLinePunct w:val="0"/>
        <w:bidi w:val="0"/>
        <w:adjustRightInd/>
        <w:snapToGrid/>
        <w:spacing w:line="240" w:lineRule="auto"/>
        <w:ind w:right="0" w:rightChars="0" w:firstLine="840"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2.财政资金主要用途和支出范围;自筹资金用途及支出范围。</w:t>
      </w:r>
    </w:p>
    <w:p>
      <w:pPr>
        <w:pageBreakBefore w:val="0"/>
        <w:kinsoku/>
        <w:wordWrap/>
        <w:overflowPunct/>
        <w:topLinePunct w:val="0"/>
        <w:bidi w:val="0"/>
        <w:adjustRightInd/>
        <w:snapToGrid/>
        <w:spacing w:line="240" w:lineRule="auto"/>
        <w:ind w:right="0" w:rightChars="0" w:firstLine="560" w:firstLineChars="200"/>
        <w:textAlignment w:val="auto"/>
        <w:outlineLvl w:val="1"/>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（四）预算经费支出内容</w:t>
      </w:r>
    </w:p>
    <w:p>
      <w:pPr>
        <w:pageBreakBefore w:val="0"/>
        <w:kinsoku/>
        <w:wordWrap/>
        <w:overflowPunct/>
        <w:topLinePunct w:val="0"/>
        <w:bidi w:val="0"/>
        <w:adjustRightInd/>
        <w:snapToGrid/>
        <w:spacing w:line="240" w:lineRule="auto"/>
        <w:ind w:right="0" w:rightChars="0" w:firstLine="840"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简要说明预算支出具体内容。</w:t>
      </w:r>
    </w:p>
    <w:p>
      <w:pPr>
        <w:pageBreakBefore w:val="0"/>
        <w:kinsoku/>
        <w:wordWrap/>
        <w:overflowPunct/>
        <w:topLinePunct w:val="0"/>
        <w:bidi w:val="0"/>
        <w:adjustRightInd/>
        <w:snapToGrid/>
        <w:spacing w:line="240" w:lineRule="auto"/>
        <w:ind w:right="0" w:rightChars="0" w:firstLine="840"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填写附表2：预算支出明细表。</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七、预期成果与效益分析</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项目实施预期取得的成果及成果应用价值，项目实施预期社会效益、经济效益、效益持续力、主要受益者等。</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八、项目验收标准</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分项描述项目验收指标及验收标准。</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监测检测报告质量要求等。</w:t>
      </w:r>
    </w:p>
    <w:p>
      <w:pPr>
        <w:pageBreakBefore w:val="0"/>
        <w:kinsoku/>
        <w:wordWrap/>
        <w:overflowPunct/>
        <w:topLinePunct w:val="0"/>
        <w:bidi w:val="0"/>
        <w:adjustRightInd/>
        <w:snapToGrid/>
        <w:spacing w:line="240" w:lineRule="auto"/>
        <w:ind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九、项目风险与不确定</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项目的风险和不确定因素、项目单位对风险的认识及相关风险管理措施等。</w:t>
      </w:r>
    </w:p>
    <w:p>
      <w:pPr>
        <w:keepNext/>
        <w:keepLines/>
        <w:pageBreakBefore w:val="0"/>
        <w:widowControl w:val="0"/>
        <w:numPr>
          <w:ilvl w:val="2"/>
          <w:numId w:val="0"/>
        </w:numPr>
        <w:kinsoku/>
        <w:wordWrap/>
        <w:overflowPunct/>
        <w:topLinePunct w:val="0"/>
        <w:bidi w:val="0"/>
        <w:spacing w:before="0" w:after="0" w:line="240" w:lineRule="auto"/>
        <w:ind w:left="288" w:leftChars="0" w:right="0" w:rightChars="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附表</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1.预算绩效目标表（另附）</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bookmarkStart w:id="154" w:name="_Hlk72069677"/>
      <w:r>
        <w:rPr>
          <w:rFonts w:hint="eastAsia" w:ascii="仿宋_GB2312" w:hAnsi="仿宋_GB2312" w:eastAsia="仿宋_GB2312" w:cs="仿宋_GB2312"/>
          <w:sz w:val="28"/>
          <w:szCs w:val="28"/>
        </w:rPr>
        <w:t>预算支出明细表</w:t>
      </w:r>
      <w:bookmarkEnd w:id="154"/>
      <w:r>
        <w:rPr>
          <w:rFonts w:hint="eastAsia" w:ascii="仿宋_GB2312" w:hAnsi="仿宋_GB2312" w:eastAsia="仿宋_GB2312" w:cs="仿宋_GB2312"/>
          <w:sz w:val="28"/>
          <w:szCs w:val="28"/>
        </w:rPr>
        <w:t>（另附）</w:t>
      </w:r>
    </w:p>
    <w:p>
      <w:pPr>
        <w:keepNext/>
        <w:keepLines/>
        <w:pageBreakBefore w:val="0"/>
        <w:widowControl w:val="0"/>
        <w:numPr>
          <w:ilvl w:val="2"/>
          <w:numId w:val="0"/>
        </w:numPr>
        <w:kinsoku/>
        <w:wordWrap/>
        <w:overflowPunct/>
        <w:topLinePunct w:val="0"/>
        <w:bidi w:val="0"/>
        <w:spacing w:before="0" w:after="0" w:line="240" w:lineRule="auto"/>
        <w:ind w:left="288" w:leftChars="0" w:right="0" w:rightChars="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附件：</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1.诚信承诺书</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2.知识产权合规性声明</w:t>
      </w:r>
    </w:p>
    <w:p>
      <w:pPr>
        <w:pageBreakBefore w:val="0"/>
        <w:kinsoku/>
        <w:wordWrap/>
        <w:overflowPunct/>
        <w:topLinePunct w:val="0"/>
        <w:bidi w:val="0"/>
        <w:adjustRightInd/>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3.项目承担单位意见</w:t>
      </w:r>
    </w:p>
    <w:p>
      <w:pPr>
        <w:pageBreakBefore w:val="0"/>
        <w:kinsoku/>
        <w:wordWrap/>
        <w:overflowPunct/>
        <w:topLinePunct w:val="0"/>
        <w:bidi w:val="0"/>
        <w:spacing w:line="240" w:lineRule="auto"/>
        <w:ind w:right="0" w:rightChars="0"/>
        <w:textAlignment w:val="auto"/>
        <w:rPr>
          <w:rFonts w:hint="eastAsia"/>
        </w:rPr>
      </w:pPr>
      <w:r>
        <w:rPr>
          <w:rFonts w:hint="eastAsia"/>
        </w:rPr>
        <w:br w:type="page"/>
      </w:r>
    </w:p>
    <w:p>
      <w:pPr>
        <w:pageBreakBefore w:val="0"/>
        <w:kinsoku/>
        <w:wordWrap/>
        <w:overflowPunct/>
        <w:topLinePunct w:val="0"/>
        <w:bidi w:val="0"/>
        <w:adjustRightInd w:val="0"/>
        <w:snapToGrid w:val="0"/>
        <w:spacing w:after="0" w:afterLines="0" w:line="540" w:lineRule="exact"/>
        <w:ind w:right="0" w:rightChars="0" w:firstLine="0" w:firstLineChars="0"/>
        <w:jc w:val="left"/>
        <w:textAlignment w:val="auto"/>
        <w:outlineLvl w:val="1"/>
        <w:rPr>
          <w:rFonts w:hint="eastAsia" w:ascii="方正小标宋简体" w:hAnsi="方正小标宋简体" w:eastAsia="方正小标宋简体" w:cs="方正小标宋简体"/>
          <w:b w:val="0"/>
          <w:bCs/>
          <w:color w:val="000000"/>
          <w:kern w:val="0"/>
          <w:sz w:val="44"/>
          <w:szCs w:val="44"/>
          <w:lang w:bidi="ar"/>
        </w:rPr>
      </w:pPr>
      <w:r>
        <w:rPr>
          <w:rFonts w:hint="eastAsia" w:ascii="黑体" w:hAnsi="黑体" w:eastAsia="黑体" w:cs="黑体"/>
          <w:b w:val="0"/>
          <w:bCs/>
          <w:color w:val="000000"/>
          <w:kern w:val="0"/>
          <w:sz w:val="32"/>
          <w:szCs w:val="32"/>
          <w:lang w:bidi="ar"/>
        </w:rPr>
        <w:t>附件1</w:t>
      </w:r>
    </w:p>
    <w:p>
      <w:pPr>
        <w:pageBreakBefore w:val="0"/>
        <w:kinsoku/>
        <w:wordWrap/>
        <w:overflowPunct/>
        <w:topLinePunct w:val="0"/>
        <w:bidi w:val="0"/>
        <w:adjustRightInd w:val="0"/>
        <w:snapToGrid w:val="0"/>
        <w:spacing w:after="0" w:afterLines="0" w:line="540" w:lineRule="exact"/>
        <w:ind w:right="0" w:rightChars="0" w:firstLine="0" w:firstLineChars="0"/>
        <w:jc w:val="center"/>
        <w:textAlignment w:val="auto"/>
        <w:rPr>
          <w:rFonts w:hint="eastAsia" w:ascii="方正小标宋简体" w:hAnsi="方正小标宋简体" w:eastAsia="方正小标宋简体" w:cs="方正小标宋简体"/>
          <w:sz w:val="44"/>
          <w:szCs w:val="44"/>
        </w:rPr>
      </w:pPr>
    </w:p>
    <w:p>
      <w:pPr>
        <w:pageBreakBefore w:val="0"/>
        <w:kinsoku/>
        <w:wordWrap/>
        <w:overflowPunct/>
        <w:topLinePunct w:val="0"/>
        <w:bidi w:val="0"/>
        <w:adjustRightInd w:val="0"/>
        <w:snapToGrid w:val="0"/>
        <w:spacing w:after="0" w:afterLines="0" w:line="540" w:lineRule="exact"/>
        <w:ind w:right="0" w:righ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pPr>
        <w:pageBreakBefore w:val="0"/>
        <w:kinsoku/>
        <w:wordWrap/>
        <w:overflowPunct/>
        <w:topLinePunct w:val="0"/>
        <w:bidi w:val="0"/>
        <w:adjustRightInd w:val="0"/>
        <w:snapToGrid w:val="0"/>
        <w:spacing w:after="0" w:afterLines="0" w:line="540" w:lineRule="exact"/>
        <w:ind w:right="0" w:rightChars="0" w:firstLine="0" w:firstLineChars="0"/>
        <w:jc w:val="center"/>
        <w:textAlignment w:val="auto"/>
        <w:rPr>
          <w:rFonts w:hint="eastAsia" w:ascii="仿宋_GB2312" w:hAnsi="仿宋_GB2312" w:eastAsia="仿宋_GB2312" w:cs="仿宋_GB2312"/>
          <w:sz w:val="44"/>
          <w:szCs w:val="44"/>
        </w:rPr>
      </w:pPr>
    </w:p>
    <w:p>
      <w:pPr>
        <w:pageBreakBefore w:val="0"/>
        <w:kinsoku/>
        <w:wordWrap/>
        <w:overflowPunct/>
        <w:topLinePunct w:val="0"/>
        <w:bidi w:val="0"/>
        <w:adjustRightInd w:val="0"/>
        <w:snapToGrid w:val="0"/>
        <w:spacing w:afterLines="0" w:line="540" w:lineRule="exact"/>
        <w:ind w:right="0" w:rightChars="0" w:firstLine="532" w:firstLineChars="1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立项指南的要求，自愿提交立项申请书，在此郑重承诺：所申报材料和相关内容真实有效，不存在以下违背诚信要求的行为。</w:t>
      </w:r>
    </w:p>
    <w:p>
      <w:pPr>
        <w:pageBreakBefore w:val="0"/>
        <w:kinsoku/>
        <w:wordWrap/>
        <w:overflowPunct/>
        <w:topLinePunct w:val="0"/>
        <w:bidi w:val="0"/>
        <w:adjustRightInd w:val="0"/>
        <w:snapToGrid w:val="0"/>
        <w:spacing w:afterLines="0" w:line="540" w:lineRule="exact"/>
        <w:ind w:right="0" w:rightChars="0" w:firstLine="532" w:firstLineChars="1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（一）抄袭、剽窃、侵占他人成果；</w:t>
      </w:r>
    </w:p>
    <w:p>
      <w:pPr>
        <w:pageBreakBefore w:val="0"/>
        <w:kinsoku/>
        <w:wordWrap/>
        <w:overflowPunct/>
        <w:topLinePunct w:val="0"/>
        <w:bidi w:val="0"/>
        <w:adjustRightInd w:val="0"/>
        <w:snapToGrid w:val="0"/>
        <w:spacing w:afterLines="0" w:line="540" w:lineRule="exact"/>
        <w:ind w:right="0" w:rightChars="0" w:firstLine="509" w:firstLineChars="190"/>
        <w:textAlignment w:val="auto"/>
        <w:rPr>
          <w:rFonts w:hint="eastAsia" w:ascii="仿宋_GB2312" w:hAnsi="仿宋_GB2312" w:eastAsia="仿宋_GB2312" w:cs="仿宋_GB2312"/>
          <w:snapToGrid w:val="0"/>
          <w:spacing w:val="-6"/>
          <w:kern w:val="0"/>
          <w:sz w:val="28"/>
          <w:szCs w:val="28"/>
        </w:rPr>
      </w:pPr>
      <w:r>
        <w:rPr>
          <w:rFonts w:hint="eastAsia" w:ascii="仿宋_GB2312" w:hAnsi="仿宋_GB2312" w:eastAsia="仿宋_GB2312" w:cs="仿宋_GB2312"/>
          <w:snapToGrid w:val="0"/>
          <w:spacing w:val="-6"/>
          <w:kern w:val="0"/>
          <w:sz w:val="28"/>
          <w:szCs w:val="28"/>
        </w:rPr>
        <w:t>（二）编制数据产生过程，伪造、篡改研究数据、图表、结论；</w:t>
      </w:r>
    </w:p>
    <w:p>
      <w:pPr>
        <w:pageBreakBefore w:val="0"/>
        <w:kinsoku/>
        <w:wordWrap/>
        <w:overflowPunct/>
        <w:topLinePunct w:val="0"/>
        <w:bidi w:val="0"/>
        <w:adjustRightInd w:val="0"/>
        <w:snapToGrid w:val="0"/>
        <w:spacing w:afterLines="0" w:line="540" w:lineRule="exact"/>
        <w:ind w:right="0" w:rightChars="0" w:firstLine="532" w:firstLineChars="1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（三）以故意提供虚假信息等弄虚作假的方式或采取贿赂、</w:t>
      </w:r>
      <w:r>
        <w:rPr>
          <w:rFonts w:hint="eastAsia" w:ascii="仿宋_GB2312" w:hAnsi="仿宋_GB2312" w:eastAsia="仿宋_GB2312" w:cs="仿宋_GB2312"/>
          <w:snapToGrid w:val="0"/>
          <w:spacing w:val="-6"/>
          <w:kern w:val="0"/>
          <w:sz w:val="28"/>
          <w:szCs w:val="28"/>
        </w:rPr>
        <w:t>利益交换等不正当手段获取项目、资金、奖励、荣誉、职务职称等；</w:t>
      </w:r>
    </w:p>
    <w:p>
      <w:pPr>
        <w:pageBreakBefore w:val="0"/>
        <w:kinsoku/>
        <w:wordWrap/>
        <w:overflowPunct/>
        <w:topLinePunct w:val="0"/>
        <w:bidi w:val="0"/>
        <w:adjustRightInd w:val="0"/>
        <w:snapToGrid w:val="0"/>
        <w:spacing w:afterLines="0" w:line="540" w:lineRule="exact"/>
        <w:ind w:right="0" w:rightChars="0" w:firstLine="509" w:firstLineChars="190"/>
        <w:textAlignment w:val="auto"/>
        <w:rPr>
          <w:rFonts w:hint="eastAsia" w:ascii="仿宋_GB2312" w:hAnsi="仿宋_GB2312" w:eastAsia="仿宋_GB2312" w:cs="仿宋_GB2312"/>
          <w:snapToGrid w:val="0"/>
          <w:spacing w:val="-6"/>
          <w:kern w:val="0"/>
          <w:sz w:val="28"/>
          <w:szCs w:val="28"/>
        </w:rPr>
      </w:pPr>
      <w:r>
        <w:rPr>
          <w:rFonts w:hint="eastAsia" w:ascii="仿宋_GB2312" w:hAnsi="仿宋_GB2312" w:eastAsia="仿宋_GB2312" w:cs="仿宋_GB2312"/>
          <w:snapToGrid w:val="0"/>
          <w:spacing w:val="-6"/>
          <w:kern w:val="0"/>
          <w:sz w:val="28"/>
          <w:szCs w:val="28"/>
        </w:rPr>
        <w:t>（四）明知单位本身不符合条件，蓄意作出误导性陈述以通过资格审查；</w:t>
      </w:r>
    </w:p>
    <w:p>
      <w:pPr>
        <w:pageBreakBefore w:val="0"/>
        <w:kinsoku/>
        <w:wordWrap/>
        <w:overflowPunct/>
        <w:topLinePunct w:val="0"/>
        <w:bidi w:val="0"/>
        <w:adjustRightInd w:val="0"/>
        <w:snapToGrid w:val="0"/>
        <w:spacing w:afterLines="0" w:line="540" w:lineRule="exact"/>
        <w:ind w:right="0" w:rightChars="0" w:firstLine="532" w:firstLineChars="1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（五）明知数据的产生、取得不符合规范，存在严重瑕疵或逻辑错误，仍予以采用并提及成果。</w:t>
      </w:r>
    </w:p>
    <w:p>
      <w:pPr>
        <w:pageBreakBefore w:val="0"/>
        <w:kinsoku/>
        <w:wordWrap/>
        <w:overflowPunct/>
        <w:topLinePunct w:val="0"/>
        <w:bidi w:val="0"/>
        <w:adjustRightInd w:val="0"/>
        <w:snapToGrid w:val="0"/>
        <w:spacing w:afterLines="0" w:line="540" w:lineRule="exact"/>
        <w:ind w:right="0" w:rightChars="0" w:firstLine="532" w:firstLineChars="1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（六）其他失信行为。</w:t>
      </w:r>
    </w:p>
    <w:p>
      <w:pPr>
        <w:adjustRightInd w:val="0"/>
        <w:snapToGrid w:val="0"/>
        <w:spacing w:afterLines="0" w:line="540" w:lineRule="exact"/>
        <w:ind w:firstLine="532" w:firstLineChars="190"/>
        <w:rPr>
          <w:rFonts w:hint="eastAsia" w:ascii="仿宋_GB2312" w:hAnsi="仿宋_GB2312" w:cs="仿宋_GB2312"/>
          <w:sz w:val="28"/>
          <w:szCs w:val="28"/>
        </w:rPr>
      </w:pPr>
      <w:r>
        <w:rPr>
          <w:rFonts w:hint="eastAsia" w:ascii="仿宋_GB2312" w:hAnsi="仿宋_GB2312" w:eastAsia="仿宋_GB2312" w:cs="仿宋_GB2312"/>
          <w:sz w:val="28"/>
          <w:szCs w:val="28"/>
        </w:rPr>
        <w:t>如有违反，本人/本单位愿接受</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资金，取消五年内</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pageBreakBefore w:val="0"/>
        <w:kinsoku/>
        <w:wordWrap/>
        <w:overflowPunct/>
        <w:topLinePunct w:val="0"/>
        <w:bidi w:val="0"/>
        <w:adjustRightInd w:val="0"/>
        <w:snapToGrid w:val="0"/>
        <w:spacing w:afterLines="0" w:line="540" w:lineRule="exact"/>
        <w:ind w:right="0" w:rightChars="0" w:firstLine="0" w:firstLineChars="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afterLines="0" w:line="540" w:lineRule="exact"/>
        <w:ind w:right="0" w:rightChars="0" w:firstLine="0" w:firstLineChars="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afterLines="0" w:line="540" w:lineRule="exact"/>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申报单位法定代表人或授权代表人（签名）：</w:t>
      </w:r>
    </w:p>
    <w:p>
      <w:pPr>
        <w:pageBreakBefore w:val="0"/>
        <w:kinsoku/>
        <w:wordWrap/>
        <w:overflowPunct/>
        <w:topLinePunct w:val="0"/>
        <w:bidi w:val="0"/>
        <w:adjustRightInd w:val="0"/>
        <w:snapToGrid w:val="0"/>
        <w:spacing w:afterLines="0" w:line="540" w:lineRule="exact"/>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负责人（签名）：</w:t>
      </w:r>
    </w:p>
    <w:p>
      <w:pPr>
        <w:pageBreakBefore w:val="0"/>
        <w:kinsoku/>
        <w:wordWrap/>
        <w:overflowPunct/>
        <w:topLinePunct w:val="0"/>
        <w:bidi w:val="0"/>
        <w:adjustRightInd w:val="0"/>
        <w:snapToGrid w:val="0"/>
        <w:spacing w:afterLines="0" w:line="540" w:lineRule="exact"/>
        <w:ind w:right="0" w:rightChars="0" w:firstLine="2520" w:firstLineChars="900"/>
        <w:textAlignment w:val="auto"/>
        <w:rPr>
          <w:rFonts w:hint="eastAsia" w:ascii="宋体" w:hAnsi="宋体" w:eastAsia="宋体" w:cs="仿宋_GB2312"/>
          <w:b/>
          <w:color w:val="000000"/>
          <w:kern w:val="0"/>
          <w:sz w:val="28"/>
          <w:szCs w:val="28"/>
          <w:lang w:bidi="ar"/>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r>
        <w:rPr>
          <w:rFonts w:hint="eastAsia" w:ascii="宋体" w:hAnsi="宋体" w:eastAsia="宋体" w:cs="仿宋_GB2312"/>
          <w:b/>
          <w:color w:val="000000"/>
          <w:kern w:val="0"/>
          <w:sz w:val="28"/>
          <w:szCs w:val="28"/>
          <w:lang w:bidi="ar"/>
        </w:rPr>
        <w:br w:type="page"/>
      </w:r>
    </w:p>
    <w:p>
      <w:pPr>
        <w:pageBreakBefore w:val="0"/>
        <w:kinsoku/>
        <w:wordWrap/>
        <w:overflowPunct/>
        <w:topLinePunct w:val="0"/>
        <w:bidi w:val="0"/>
        <w:adjustRightInd w:val="0"/>
        <w:snapToGrid w:val="0"/>
        <w:spacing w:afterLines="0" w:line="590" w:lineRule="exact"/>
        <w:ind w:right="0" w:rightChars="0" w:firstLine="0" w:firstLineChars="0"/>
        <w:textAlignment w:val="auto"/>
        <w:rPr>
          <w:rFonts w:hint="eastAsia" w:ascii="黑体" w:hAnsi="黑体" w:eastAsia="黑体" w:cs="黑体"/>
          <w:b w:val="0"/>
          <w:bCs/>
          <w:color w:val="000000"/>
          <w:kern w:val="0"/>
          <w:sz w:val="32"/>
          <w:szCs w:val="32"/>
          <w:lang w:bidi="ar"/>
        </w:rPr>
      </w:pPr>
      <w:r>
        <w:rPr>
          <w:rFonts w:hint="eastAsia" w:ascii="黑体" w:hAnsi="黑体" w:eastAsia="黑体" w:cs="黑体"/>
          <w:b w:val="0"/>
          <w:bCs/>
          <w:color w:val="000000"/>
          <w:kern w:val="0"/>
          <w:sz w:val="32"/>
          <w:szCs w:val="32"/>
          <w:lang w:bidi="ar"/>
        </w:rPr>
        <w:t>附件2</w:t>
      </w:r>
    </w:p>
    <w:p>
      <w:pPr>
        <w:pageBreakBefore w:val="0"/>
        <w:kinsoku/>
        <w:wordWrap/>
        <w:overflowPunct/>
        <w:topLinePunct w:val="0"/>
        <w:bidi w:val="0"/>
        <w:adjustRightInd w:val="0"/>
        <w:snapToGrid w:val="0"/>
        <w:spacing w:after="0" w:afterLines="0" w:line="590" w:lineRule="exact"/>
        <w:ind w:right="0" w:rightChars="0" w:firstLine="0" w:firstLineChars="0"/>
        <w:jc w:val="center"/>
        <w:textAlignment w:val="auto"/>
        <w:rPr>
          <w:rFonts w:ascii="黑体" w:hAnsi="黑体" w:eastAsia="黑体" w:cs="Times New Roman"/>
          <w:sz w:val="40"/>
          <w:szCs w:val="40"/>
        </w:rPr>
      </w:pPr>
      <w:r>
        <w:rPr>
          <w:rFonts w:hint="eastAsia" w:ascii="黑体" w:hAnsi="黑体" w:eastAsia="黑体" w:cs="Times New Roman"/>
          <w:sz w:val="40"/>
          <w:szCs w:val="40"/>
        </w:rPr>
        <w:t>知识产权合规性声明</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（一）提交虚假资料生成的研究成果；</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（二）拒不执行生效的知识产权行政处理决定或者司法裁判；</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（三）剽窃、侵犯他人数据成果和知识产权；</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（四）项目本身拟取得的数据或成果已在本单位承担的其他项目中取得，项目成果归属存在争议。</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（五）未经许可的情况下，向本单位上级部门或其他单位提供项目实施取得的数据、成果，造成内部工作资料外泄的。</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如有违反，本人/本单位愿接受</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资金，取消五年内</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p>
    <w:p>
      <w:pPr>
        <w:pStyle w:val="2"/>
        <w:spacing w:after="0" w:line="590" w:lineRule="exact"/>
        <w:rPr>
          <w:rFonts w:hint="eastAsia"/>
        </w:rPr>
      </w:pP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申报单位法定代表人或授权代表人（签名）：</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负责人（签名）：</w:t>
      </w:r>
    </w:p>
    <w:p>
      <w:pPr>
        <w:pageBreakBefore w:val="0"/>
        <w:kinsoku/>
        <w:wordWrap/>
        <w:overflowPunct/>
        <w:topLinePunct w:val="0"/>
        <w:bidi w:val="0"/>
        <w:adjustRightInd w:val="0"/>
        <w:snapToGrid w:val="0"/>
        <w:spacing w:afterLines="0" w:line="590" w:lineRule="exact"/>
        <w:ind w:right="0" w:rightChars="0"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w:t>
      </w:r>
      <w:r>
        <w:rPr>
          <w:rFonts w:hint="eastAsia" w:ascii="仿宋_GB2312" w:hAnsi="仿宋_GB2312" w:eastAsia="仿宋_GB2312" w:cs="仿宋_GB2312"/>
          <w:sz w:val="28"/>
          <w:szCs w:val="28"/>
          <w:lang w:eastAsia="zh-CN"/>
        </w:rPr>
        <w:t>日</w:t>
      </w:r>
    </w:p>
    <w:p>
      <w:pPr>
        <w:pageBreakBefore w:val="0"/>
        <w:kinsoku/>
        <w:wordWrap/>
        <w:overflowPunct/>
        <w:topLinePunct w:val="0"/>
        <w:bidi w:val="0"/>
        <w:adjustRightInd w:val="0"/>
        <w:snapToGrid w:val="0"/>
        <w:spacing w:after="0" w:afterLines="0" w:line="590" w:lineRule="exact"/>
        <w:ind w:right="0" w:rightChars="0" w:firstLine="0" w:firstLineChars="0"/>
        <w:jc w:val="left"/>
        <w:textAlignment w:val="auto"/>
        <w:outlineLvl w:val="1"/>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pageBreakBefore w:val="0"/>
        <w:kinsoku/>
        <w:wordWrap/>
        <w:overflowPunct/>
        <w:topLinePunct w:val="0"/>
        <w:bidi w:val="0"/>
        <w:adjustRightInd/>
        <w:snapToGrid/>
        <w:spacing w:line="240" w:lineRule="auto"/>
        <w:ind w:right="0" w:rightChars="0" w:firstLine="0" w:firstLineChars="0"/>
        <w:textAlignment w:val="auto"/>
        <w:rPr>
          <w:rFonts w:hint="eastAsia" w:ascii="黑体" w:hAnsi="黑体" w:eastAsia="黑体" w:cs="黑体"/>
          <w:b w:val="0"/>
          <w:bCs/>
          <w:color w:val="000000"/>
          <w:kern w:val="0"/>
          <w:sz w:val="32"/>
          <w:szCs w:val="32"/>
          <w:lang w:bidi="ar"/>
        </w:rPr>
      </w:pPr>
      <w:r>
        <w:rPr>
          <w:rFonts w:hint="eastAsia" w:ascii="黑体" w:hAnsi="黑体" w:eastAsia="黑体" w:cs="黑体"/>
          <w:b w:val="0"/>
          <w:bCs/>
          <w:color w:val="000000"/>
          <w:kern w:val="0"/>
          <w:sz w:val="32"/>
          <w:szCs w:val="32"/>
          <w:lang w:bidi="ar"/>
        </w:rPr>
        <w:t>附件3</w:t>
      </w:r>
    </w:p>
    <w:p>
      <w:pPr>
        <w:pageBreakBefore w:val="0"/>
        <w:kinsoku/>
        <w:wordWrap/>
        <w:overflowPunct/>
        <w:topLinePunct w:val="0"/>
        <w:bidi w:val="0"/>
        <w:adjustRightInd/>
        <w:snapToGrid/>
        <w:spacing w:line="240" w:lineRule="auto"/>
        <w:ind w:right="0" w:rightChars="0" w:firstLine="0" w:firstLineChars="0"/>
        <w:jc w:val="center"/>
        <w:textAlignment w:val="auto"/>
        <w:rPr>
          <w:rFonts w:hint="eastAsia" w:ascii="方正小标宋简体" w:hAnsi="方正小标宋简体" w:eastAsia="方正小标宋简体" w:cs="方正小标宋简体"/>
          <w:b/>
          <w:color w:val="000000"/>
          <w:kern w:val="0"/>
          <w:sz w:val="44"/>
          <w:szCs w:val="44"/>
          <w:lang w:bidi="ar"/>
        </w:rPr>
      </w:pPr>
      <w:r>
        <w:rPr>
          <w:rFonts w:hint="eastAsia" w:ascii="方正小标宋简体" w:hAnsi="方正小标宋简体" w:eastAsia="方正小标宋简体" w:cs="方正小标宋简体"/>
          <w:sz w:val="44"/>
          <w:szCs w:val="44"/>
          <w:lang w:eastAsia="zh-Hans"/>
        </w:rPr>
        <w:t>项目承担单位</w:t>
      </w:r>
      <w:r>
        <w:rPr>
          <w:rFonts w:hint="eastAsia" w:ascii="方正小标宋简体" w:hAnsi="方正小标宋简体" w:eastAsia="方正小标宋简体" w:cs="方正小标宋简体"/>
          <w:sz w:val="44"/>
          <w:szCs w:val="44"/>
        </w:rPr>
        <w:t>意见</w:t>
      </w:r>
    </w:p>
    <w:tbl>
      <w:tblPr>
        <w:tblStyle w:val="14"/>
        <w:tblW w:w="8522" w:type="dxa"/>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vAlign w:val="top"/>
          </w:tcPr>
          <w:p>
            <w:pPr>
              <w:pageBreakBefore w:val="0"/>
              <w:kinsoku/>
              <w:wordWrap/>
              <w:overflowPunct/>
              <w:topLinePunct w:val="0"/>
              <w:bidi w:val="0"/>
              <w:adjustRightInd w:val="0"/>
              <w:snapToGrid w:val="0"/>
              <w:spacing w:line="240" w:lineRule="auto"/>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承担单位意见：</w:t>
            </w: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4132" w:firstLineChars="1476"/>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牵头承担单位（公章）：</w:t>
            </w:r>
          </w:p>
          <w:p>
            <w:pPr>
              <w:pageBreakBefore w:val="0"/>
              <w:kinsoku/>
              <w:wordWrap/>
              <w:overflowPunct/>
              <w:topLinePunct w:val="0"/>
              <w:bidi w:val="0"/>
              <w:adjustRightInd w:val="0"/>
              <w:snapToGrid w:val="0"/>
              <w:spacing w:line="240" w:lineRule="auto"/>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pageBreakBefore w:val="0"/>
              <w:kinsoku/>
              <w:wordWrap/>
              <w:overflowPunct/>
              <w:topLinePunct w:val="0"/>
              <w:bidi w:val="0"/>
              <w:adjustRightInd w:val="0"/>
              <w:snapToGrid w:val="0"/>
              <w:spacing w:line="240" w:lineRule="auto"/>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参与单位（公章）：</w:t>
            </w:r>
          </w:p>
          <w:p>
            <w:pPr>
              <w:pageBreakBefore w:val="0"/>
              <w:kinsoku/>
              <w:wordWrap/>
              <w:overflowPunct/>
              <w:topLinePunct w:val="0"/>
              <w:bidi w:val="0"/>
              <w:adjustRightInd w:val="0"/>
              <w:snapToGrid w:val="0"/>
              <w:spacing w:line="240" w:lineRule="auto"/>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vAlign w:val="top"/>
          </w:tcPr>
          <w:p>
            <w:pPr>
              <w:pageBreakBefore w:val="0"/>
              <w:kinsoku/>
              <w:wordWrap/>
              <w:overflowPunct/>
              <w:topLinePunct w:val="0"/>
              <w:bidi w:val="0"/>
              <w:adjustRightInd w:val="0"/>
              <w:snapToGrid w:val="0"/>
              <w:spacing w:line="240" w:lineRule="auto"/>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项目立项指南的要求，自愿提交项目申请书，在此郑重承诺：按照前述项目批复预算经费的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%（人民币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万元）进行自筹配套。</w:t>
            </w: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pageBreakBefore w:val="0"/>
              <w:kinsoku/>
              <w:wordWrap/>
              <w:overflowPunct/>
              <w:topLinePunct w:val="0"/>
              <w:bidi w:val="0"/>
              <w:adjustRightInd w:val="0"/>
              <w:snapToGrid w:val="0"/>
              <w:spacing w:line="240" w:lineRule="auto"/>
              <w:ind w:right="0" w:rightChars="0" w:firstLine="3640" w:firstLineChars="13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出资单位（盖章）：</w:t>
            </w:r>
          </w:p>
          <w:p>
            <w:pPr>
              <w:pageBreakBefore w:val="0"/>
              <w:kinsoku/>
              <w:wordWrap/>
              <w:overflowPunct/>
              <w:topLinePunct w:val="0"/>
              <w:bidi w:val="0"/>
              <w:adjustRightInd w:val="0"/>
              <w:snapToGrid w:val="0"/>
              <w:spacing w:line="240" w:lineRule="auto"/>
              <w:ind w:right="0" w:rightChars="0" w:firstLine="3360" w:firstLineChars="1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pageBreakBefore w:val="0"/>
              <w:kinsoku/>
              <w:wordWrap/>
              <w:overflowPunct/>
              <w:topLinePunct w:val="0"/>
              <w:bidi w:val="0"/>
              <w:adjustRightInd w:val="0"/>
              <w:snapToGrid w:val="0"/>
              <w:spacing w:line="240" w:lineRule="auto"/>
              <w:ind w:right="0" w:rightChars="0" w:firstLine="560" w:firstLineChars="200"/>
              <w:textAlignment w:val="auto"/>
              <w:rPr>
                <w:rFonts w:hint="eastAsia" w:ascii="仿宋_GB2312" w:hAnsi="仿宋_GB2312" w:eastAsia="仿宋_GB2312" w:cs="仿宋_GB2312"/>
                <w:sz w:val="24"/>
                <w:szCs w:val="22"/>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pPr>
        <w:pageBreakBefore w:val="0"/>
        <w:kinsoku/>
        <w:wordWrap/>
        <w:overflowPunct/>
        <w:topLinePunct w:val="0"/>
        <w:bidi w:val="0"/>
        <w:adjustRightInd/>
        <w:snapToGrid/>
        <w:spacing w:line="240" w:lineRule="auto"/>
        <w:ind w:right="0" w:rightChars="0" w:firstLine="0" w:firstLineChars="0"/>
        <w:jc w:val="center"/>
        <w:textAlignment w:val="auto"/>
        <w:outlineLvl w:val="0"/>
        <w:rPr>
          <w:rFonts w:hint="eastAsia" w:ascii="Times New Roman" w:hAnsi="Times New Roman" w:eastAsia="宋体" w:cs="宋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b w:val="0"/>
          <w:bCs w:val="0"/>
          <w:sz w:val="32"/>
          <w:szCs w:val="32"/>
        </w:rPr>
        <w:t>《广东省农业监测和检测项目申报书》填写说明</w:t>
      </w:r>
    </w:p>
    <w:p>
      <w:pPr>
        <w:adjustRightInd/>
        <w:snapToGrid/>
        <w:spacing w:line="560" w:lineRule="exact"/>
        <w:ind w:firstLine="560" w:firstLineChars="200"/>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一、适用范围</w:t>
      </w:r>
    </w:p>
    <w:p>
      <w:pPr>
        <w:adjustRightInd/>
        <w:snapToGrid/>
        <w:spacing w:line="560" w:lineRule="exact"/>
        <w:ind w:firstLine="640" w:firstLineChars="0"/>
        <w:jc w:val="lef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本标准适用于省级部门监测和检测项目支出预算，也是主管部门安排此项资金预算和监督执行的审核依据。</w:t>
      </w:r>
    </w:p>
    <w:p>
      <w:pPr>
        <w:adjustRightInd/>
        <w:snapToGrid/>
        <w:spacing w:line="580" w:lineRule="exact"/>
        <w:ind w:firstLine="560" w:firstLineChars="200"/>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二、基本情况</w:t>
      </w:r>
    </w:p>
    <w:p>
      <w:pPr>
        <w:adjustRightInd/>
        <w:snapToGrid/>
        <w:spacing w:line="58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项目实施背景，主要实施内容，牵头及实施单位情况，实施期间、范围、主要要求及预期目标等。</w:t>
      </w:r>
    </w:p>
    <w:p>
      <w:pPr>
        <w:adjustRightInd/>
        <w:snapToGrid/>
        <w:spacing w:line="560" w:lineRule="exact"/>
        <w:ind w:firstLine="560" w:firstLineChars="200"/>
        <w:outlineLvl w:val="0"/>
        <w:rPr>
          <w:rFonts w:hint="eastAsia" w:ascii="Times New Roman" w:hAnsi="Times New Roman" w:eastAsia="仿宋_GB2312" w:cs="仿宋_GB2312"/>
          <w:b/>
          <w:bCs/>
          <w:sz w:val="28"/>
          <w:szCs w:val="28"/>
        </w:rPr>
      </w:pPr>
      <w:r>
        <w:rPr>
          <w:rFonts w:hint="eastAsia" w:ascii="Times New Roman" w:hAnsi="Times New Roman" w:eastAsia="黑体" w:cs="黑体"/>
          <w:sz w:val="28"/>
          <w:szCs w:val="28"/>
        </w:rPr>
        <w:t>三、编制内容（经济分类）</w:t>
      </w:r>
    </w:p>
    <w:p>
      <w:pPr>
        <w:adjustRightInd/>
        <w:snapToGrid w:val="0"/>
        <w:spacing w:line="560" w:lineRule="exact"/>
        <w:ind w:firstLine="560" w:firstLineChars="200"/>
        <w:rPr>
          <w:rFonts w:hint="eastAsia" w:ascii="Times New Roman" w:hAnsi="Times New Roman" w:eastAsia="楷体_GB2312" w:cs="Times New Roman"/>
          <w:b/>
          <w:bCs/>
          <w:color w:val="000000"/>
          <w:sz w:val="28"/>
          <w:szCs w:val="28"/>
        </w:rPr>
      </w:pPr>
      <w:r>
        <w:rPr>
          <w:rFonts w:hint="eastAsia" w:ascii="Times New Roman" w:hAnsi="Times New Roman" w:eastAsia="仿宋_GB2312" w:cs="仿宋_GB2312"/>
          <w:sz w:val="28"/>
          <w:szCs w:val="28"/>
        </w:rPr>
        <w:t>项目预算支出内容仅包括开展本项目所必需的费用，不得夹塞人员经费及公用经费等预算内容。</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（一）资料印刷</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包括印制各种工作手册、调查表格和资料汇编等。</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需提供印刷物品的规格、材质、数量及询价单等依据或者类似活动的相关预算数和执行数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（二）交通费</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包括车辆租赁等。</w:t>
      </w:r>
      <w:r>
        <w:rPr>
          <w:rFonts w:hint="eastAsia" w:ascii="Times New Roman" w:hAnsi="Times New Roman" w:eastAsia="仿宋_GB2312" w:cs="Times New Roman"/>
          <w:color w:val="000000"/>
          <w:sz w:val="28"/>
          <w:szCs w:val="28"/>
        </w:rPr>
        <w:t>需提供租赁车辆的数量、费用测算过程，或者类似活动的相关预算数和执行数</w:t>
      </w:r>
      <w:r>
        <w:rPr>
          <w:rFonts w:hint="eastAsia" w:ascii="Times New Roman" w:hAnsi="Times New Roman" w:eastAsia="仿宋_GB2312" w:cs="仿宋_GB2312"/>
          <w:sz w:val="28"/>
          <w:szCs w:val="28"/>
        </w:rPr>
        <w:t>等佐证资料。</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（三）差旅费</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包括项目实施过程中的采样、调查、督查等。</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需提供出差的工作内容，出差人员数量、公务往来地点、出差</w:t>
      </w:r>
      <w:r>
        <w:rPr>
          <w:rFonts w:hint="eastAsia" w:ascii="Times New Roman" w:hAnsi="Times New Roman" w:eastAsia="仿宋_GB2312" w:cs="仿宋_GB2312"/>
          <w:sz w:val="28"/>
          <w:szCs w:val="28"/>
        </w:rPr>
        <w:t>天数、</w:t>
      </w:r>
      <w:r>
        <w:rPr>
          <w:rFonts w:hint="eastAsia" w:ascii="Times New Roman" w:hAnsi="Times New Roman" w:eastAsia="仿宋_GB2312" w:cs="Times New Roman"/>
          <w:color w:val="000000"/>
          <w:sz w:val="28"/>
          <w:szCs w:val="28"/>
        </w:rPr>
        <w:t>次数或期数等。</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（四）抽样费</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包括监测/检测样品采集、购置等。</w:t>
      </w:r>
    </w:p>
    <w:p>
      <w:pPr>
        <w:adjustRightInd/>
        <w:snapToGrid w:val="0"/>
        <w:spacing w:line="560" w:lineRule="exact"/>
        <w:ind w:firstLine="560" w:firstLineChars="200"/>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需提供抽检样品的数量、单价等。</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（五）检测费</w:t>
      </w:r>
    </w:p>
    <w:p>
      <w:pPr>
        <w:adjustRightInd/>
        <w:snapToGrid w:val="0"/>
        <w:spacing w:line="560" w:lineRule="exact"/>
        <w:ind w:firstLine="560" w:firstLineChars="200"/>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包括监测样品检验、分析测试、化验等。需提供监测样品的数量、单价等。</w:t>
      </w:r>
    </w:p>
    <w:p>
      <w:pPr>
        <w:numPr>
          <w:ilvl w:val="0"/>
          <w:numId w:val="3"/>
        </w:num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信息与咨询费</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技术信息咨询费，技术服务咨询内容和服务成果，服务报价。</w:t>
      </w:r>
    </w:p>
    <w:p>
      <w:pPr>
        <w:numPr>
          <w:ilvl w:val="0"/>
          <w:numId w:val="3"/>
        </w:num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检测耗材费</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包括化验试剂材料以及各种物料等。</w:t>
      </w:r>
    </w:p>
    <w:p>
      <w:pPr>
        <w:adjustRightInd/>
        <w:snapToGrid w:val="0"/>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需提供化验试剂材料以及各种物料数量</w:t>
      </w:r>
      <w:r>
        <w:rPr>
          <w:rFonts w:hint="eastAsia" w:ascii="Times New Roman" w:hAnsi="Times New Roman" w:eastAsia="仿宋_GB2312" w:cs="Times New Roman"/>
          <w:color w:val="000000"/>
          <w:sz w:val="28"/>
          <w:szCs w:val="28"/>
        </w:rPr>
        <w:t>及</w:t>
      </w:r>
      <w:r>
        <w:rPr>
          <w:rFonts w:hint="eastAsia" w:ascii="Times New Roman" w:hAnsi="Times New Roman" w:eastAsia="仿宋_GB2312" w:cs="仿宋_GB2312"/>
          <w:sz w:val="28"/>
          <w:szCs w:val="28"/>
        </w:rPr>
        <w:t>单价等。</w:t>
      </w:r>
    </w:p>
    <w:p>
      <w:pPr>
        <w:adjustRightInd/>
        <w:snapToGrid w:val="0"/>
        <w:spacing w:line="560" w:lineRule="exact"/>
        <w:ind w:firstLine="562" w:firstLineChars="200"/>
        <w:outlineLvl w:val="1"/>
        <w:rPr>
          <w:rFonts w:hint="eastAsia"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（八）劳务费</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包括项目采样、检测和结果分析汇总等。</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adjustRightInd/>
        <w:snapToGrid w:val="0"/>
        <w:spacing w:line="560" w:lineRule="exact"/>
        <w:ind w:firstLine="562" w:firstLineChars="200"/>
        <w:rPr>
          <w:rFonts w:ascii="Times New Roman" w:hAnsi="Times New Roman" w:eastAsia="楷体_GB2312" w:cs="Times New Roman"/>
          <w:b/>
          <w:bCs/>
          <w:color w:val="000000"/>
          <w:sz w:val="28"/>
          <w:szCs w:val="28"/>
        </w:rPr>
      </w:pPr>
      <w:r>
        <w:rPr>
          <w:rFonts w:hint="eastAsia" w:ascii="Times New Roman" w:hAnsi="Times New Roman" w:eastAsia="楷体_GB2312" w:cs="Times New Roman"/>
          <w:b/>
          <w:bCs/>
          <w:color w:val="000000"/>
          <w:sz w:val="28"/>
          <w:szCs w:val="28"/>
        </w:rPr>
        <w:t>（九）水电费</w:t>
      </w:r>
    </w:p>
    <w:p>
      <w:pPr>
        <w:adjustRightInd/>
        <w:snapToGrid w:val="0"/>
        <w:spacing w:line="560" w:lineRule="exact"/>
        <w:ind w:firstLine="560" w:firstLineChars="200"/>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监测检测过程中消耗的水电，单独计价或分摊原则。</w:t>
      </w:r>
    </w:p>
    <w:p>
      <w:pPr>
        <w:adjustRightInd/>
        <w:snapToGrid/>
        <w:spacing w:line="580" w:lineRule="exact"/>
        <w:ind w:firstLine="560" w:firstLineChars="200"/>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pPr>
        <w:adjustRightInd/>
        <w:snapToGrid w:val="0"/>
        <w:spacing w:line="580" w:lineRule="exact"/>
        <w:ind w:firstLine="562" w:firstLineChars="200"/>
        <w:outlineLvl w:val="1"/>
        <w:rPr>
          <w:rFonts w:hint="eastAsia" w:ascii="Times New Roman" w:hAnsi="Times New Roman" w:eastAsia="仿宋_GB2312" w:cs="仿宋_GB2312"/>
          <w:b/>
          <w:bCs/>
          <w:sz w:val="28"/>
          <w:szCs w:val="28"/>
        </w:rPr>
      </w:pPr>
      <w:r>
        <w:rPr>
          <w:rFonts w:hint="eastAsia" w:ascii="Times New Roman" w:hAnsi="Times New Roman" w:eastAsia="楷体_GB2312" w:cs="楷体_GB2312"/>
          <w:b/>
          <w:bCs/>
          <w:sz w:val="28"/>
          <w:szCs w:val="28"/>
        </w:rPr>
        <w:t>（一）支出预算</w:t>
      </w:r>
    </w:p>
    <w:p>
      <w:pPr>
        <w:adjustRightInd/>
        <w:snapToGrid w:val="0"/>
        <w:spacing w:line="5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eastAsia="仿宋_GB2312" w:cs="Times New Roman"/>
          <w:sz w:val="28"/>
          <w:szCs w:val="28"/>
        </w:rPr>
        <w:t>包括资金总需求、各项具体用途资金需求、相关测算过程和测算标准依据等。</w:t>
      </w:r>
      <w:r>
        <w:rPr>
          <w:rFonts w:hint="eastAsia" w:ascii="Times New Roman" w:hAnsi="Times New Roman" w:eastAsia="仿宋_GB2312" w:cs="仿宋_GB2312"/>
          <w:sz w:val="28"/>
          <w:szCs w:val="28"/>
        </w:rPr>
        <w:t>如审计、人大、财政等部门监督检查提出整改完善意见的，需要在此说明并在预算内容和资金上体现。</w:t>
      </w:r>
    </w:p>
    <w:p>
      <w:pPr>
        <w:adjustRightInd/>
        <w:snapToGrid/>
        <w:spacing w:line="580" w:lineRule="exact"/>
        <w:ind w:firstLine="562" w:firstLineChars="200"/>
        <w:jc w:val="left"/>
        <w:outlineLvl w:val="1"/>
        <w:rPr>
          <w:rFonts w:hint="eastAsia" w:ascii="Times New Roman" w:hAnsi="Times New Roman" w:eastAsia="楷体_GB2312" w:cs="仿宋_GB2312"/>
          <w:b/>
          <w:bCs/>
          <w:sz w:val="28"/>
          <w:szCs w:val="28"/>
        </w:rPr>
      </w:pPr>
      <w:r>
        <w:rPr>
          <w:rFonts w:hint="eastAsia" w:ascii="Times New Roman" w:hAnsi="Times New Roman" w:eastAsia="楷体_GB2312" w:cs="仿宋_GB2312"/>
          <w:b/>
          <w:bCs/>
          <w:sz w:val="28"/>
          <w:szCs w:val="28"/>
        </w:rPr>
        <w:t>（二）资金来源</w:t>
      </w:r>
    </w:p>
    <w:p>
      <w:pPr>
        <w:adjustRightInd/>
        <w:snapToGrid/>
        <w:spacing w:line="58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对项目资金来源进行说明，并按照综合预算原则，提出经费预算申请。</w:t>
      </w:r>
    </w:p>
    <w:p>
      <w:pPr>
        <w:adjustRightInd/>
        <w:snapToGrid/>
        <w:spacing w:line="580" w:lineRule="exact"/>
        <w:ind w:firstLine="562" w:firstLineChars="200"/>
        <w:outlineLvl w:val="1"/>
        <w:rPr>
          <w:rFonts w:hint="eastAsia" w:ascii="Times New Roman" w:hAnsi="Times New Roman" w:eastAsia="楷体_GB2312" w:cs="楷体_GB2312"/>
          <w:b/>
          <w:bCs/>
          <w:sz w:val="28"/>
          <w:szCs w:val="28"/>
        </w:rPr>
      </w:pPr>
      <w:r>
        <w:rPr>
          <w:rFonts w:hint="eastAsia" w:ascii="Times New Roman" w:hAnsi="Times New Roman" w:eastAsia="楷体_GB2312" w:cs="楷体_GB2312"/>
          <w:b/>
          <w:bCs/>
          <w:sz w:val="28"/>
          <w:szCs w:val="28"/>
        </w:rPr>
        <w:t>（三）实施周期</w:t>
      </w:r>
    </w:p>
    <w:p>
      <w:pPr>
        <w:adjustRightInd/>
        <w:snapToGrid/>
        <w:spacing w:line="58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项目单位应明确项目实施周期。实施周期应与国民经济社会发展规划、部门或行业发展规划、重大政策、重大项目实施期限、中期财政规划等相适应。</w:t>
      </w:r>
    </w:p>
    <w:p>
      <w:pPr>
        <w:adjustRightInd/>
        <w:snapToGrid w:val="0"/>
        <w:spacing w:line="580" w:lineRule="exact"/>
        <w:ind w:firstLine="562" w:firstLineChars="200"/>
        <w:outlineLvl w:val="1"/>
        <w:rPr>
          <w:rFonts w:hint="eastAsia" w:ascii="Times New Roman" w:hAnsi="Times New Roman" w:eastAsia="楷体_GB2312" w:cs="楷体_GB2312"/>
          <w:b/>
          <w:bCs/>
          <w:sz w:val="28"/>
          <w:szCs w:val="28"/>
        </w:rPr>
      </w:pPr>
      <w:r>
        <w:rPr>
          <w:rFonts w:hint="eastAsia" w:ascii="Times New Roman" w:hAnsi="Times New Roman" w:eastAsia="楷体_GB2312" w:cs="楷体_GB2312"/>
          <w:b/>
          <w:bCs/>
          <w:sz w:val="28"/>
          <w:szCs w:val="28"/>
        </w:rPr>
        <w:t>（四）绩效目标</w:t>
      </w:r>
    </w:p>
    <w:p>
      <w:pPr>
        <w:adjustRightInd/>
        <w:snapToGrid w:val="0"/>
        <w:spacing w:line="58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设置可量化、可评估的绩效目标，包括产出、成本、经济效益、社会效益、生态效益、可持续影响和服务对象满意度等绩效指标。</w:t>
      </w:r>
    </w:p>
    <w:p>
      <w:pPr>
        <w:numPr>
          <w:ilvl w:val="2"/>
          <w:numId w:val="0"/>
        </w:numPr>
        <w:ind w:left="288" w:leftChars="0"/>
        <w:rPr>
          <w:rFonts w:hint="eastAsia"/>
        </w:rPr>
        <w:sectPr>
          <w:footerReference r:id="rId39"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339"/>
          <w:cols w:space="0" w:num="1"/>
          <w:rtlGutter w:val="0"/>
          <w:docGrid w:type="lines" w:linePitch="595" w:charSpace="0"/>
        </w:sectPr>
      </w:pPr>
    </w:p>
    <w:tbl>
      <w:tblPr>
        <w:tblStyle w:val="14"/>
        <w:tblW w:w="9315" w:type="dxa"/>
        <w:tblInd w:w="-1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4"/>
        <w:gridCol w:w="955"/>
        <w:gridCol w:w="4687"/>
        <w:gridCol w:w="1369"/>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476"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rPr>
                <w:rFonts w:hint="eastAsia" w:ascii="仿宋_GB2312" w:hAnsi="仿宋_GB2312" w:eastAsia="仿宋_GB2312" w:cs="仿宋_GB2312"/>
                <w:i w:val="0"/>
                <w:color w:val="000000"/>
                <w:sz w:val="22"/>
                <w:szCs w:val="22"/>
                <w:u w:val="none"/>
              </w:rPr>
            </w:pPr>
            <w:r>
              <w:rPr>
                <w:rFonts w:hint="eastAsia" w:ascii="黑体" w:hAnsi="黑体" w:eastAsia="黑体" w:cs="黑体"/>
                <w:i w:val="0"/>
                <w:color w:val="000000"/>
                <w:kern w:val="0"/>
                <w:sz w:val="32"/>
                <w:szCs w:val="32"/>
                <w:u w:val="none"/>
                <w:lang w:val="en-US" w:eastAsia="zh-CN" w:bidi="ar"/>
              </w:rPr>
              <w:t>附表1</w:t>
            </w:r>
          </w:p>
        </w:tc>
        <w:tc>
          <w:tcPr>
            <w:tcW w:w="1369" w:type="dxa"/>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rPr>
                <w:rFonts w:hint="eastAsia" w:ascii="仿宋_GB2312" w:hAnsi="仿宋_GB2312" w:eastAsia="仿宋_GB2312" w:cs="仿宋_GB2312"/>
                <w:i w:val="0"/>
                <w:color w:val="000000"/>
                <w:sz w:val="22"/>
                <w:szCs w:val="22"/>
                <w:u w:val="none"/>
              </w:rPr>
            </w:pPr>
          </w:p>
        </w:tc>
        <w:tc>
          <w:tcPr>
            <w:tcW w:w="1470" w:type="dxa"/>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rPr>
                <w:rFonts w:hint="eastAsia" w:ascii="仿宋_GB2312" w:hAnsi="仿宋_GB2312"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30" w:hRule="atLeast"/>
        </w:trPr>
        <w:tc>
          <w:tcPr>
            <w:tcW w:w="9315"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b/>
                <w:i w:val="0"/>
                <w:color w:val="000000"/>
                <w:sz w:val="28"/>
                <w:szCs w:val="28"/>
                <w:u w:val="none"/>
              </w:rPr>
            </w:pPr>
            <w:r>
              <w:rPr>
                <w:rFonts w:hint="eastAsia" w:ascii="仿宋_GB2312" w:hAnsi="仿宋_GB2312" w:eastAsia="仿宋_GB2312" w:cs="仿宋_GB2312"/>
                <w:b/>
                <w:i w:val="0"/>
                <w:color w:val="000000"/>
                <w:kern w:val="0"/>
                <w:sz w:val="28"/>
                <w:szCs w:val="28"/>
                <w:u w:val="none"/>
                <w:lang w:val="en-US" w:eastAsia="zh-CN" w:bidi="ar"/>
              </w:rPr>
              <w:t>XXXX年广东省省XXXX项目绩效目标申报表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绩效目标</w:t>
            </w:r>
          </w:p>
        </w:tc>
        <w:tc>
          <w:tcPr>
            <w:tcW w:w="564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实施期目标（跨年度项目需填写，当年度项目不需填写）</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当年度目标*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填写说明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79" w:hRule="atLeast"/>
        </w:trPr>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总体目标</w:t>
            </w:r>
          </w:p>
        </w:tc>
        <w:tc>
          <w:tcPr>
            <w:tcW w:w="564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20"/>
                <w:szCs w:val="20"/>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根据项目资金设立（或政策意图）的初衷，概括性描述该项目资金安排后应达到的总体目标和效果（总任务、总要求、总产出和总效益）。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一级指标</w:t>
            </w:r>
          </w:p>
        </w:tc>
        <w:tc>
          <w:tcPr>
            <w:tcW w:w="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二级指标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三级指标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当年度指标值</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9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产出指标</w:t>
            </w: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数量指标*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**（监测品种）**（监测类型）样品数量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对目标任务用指标值进行量化描述，确实无法量化的指标值可采用定性表述。如：种植业产品例行监测样品数量，200个；种植业产品例行监测蔬菜生产基地、运输车和批发市场抽样比例，4：2：4。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**（监测品种）**（监测类型）监测地点/抽检站点</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≥**个县（市、区）</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**（监测品种）**（监测类型）**（各抽样地点）抽样比例</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**（监测品种）**（监测类型）**（各样品）抽样比例</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参加**检测技术能力验证机构数量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**报告数量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≥**份</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质量指标*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**（监测品种）抽样方法</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参照**规定执行</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对目标任务的质量要求（标准）进行量化描述，确实无法量化的指标值可采用定性表述。如：蔬菜、水果和食用菌抽样方法，参照NY/T789规定执行；种植业产品例行监测结果准确率，≥98%。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**（监测品种）**（监测类型）重点品种样品占比(重点品种样品量/样品总量)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**检测结果准确率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时效指标*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**（监测品种）**（监测类型）监测时间</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对目标任务的完成时间进行量化描述。如：种植业产品例行监测时间，3月-6月。风险监测结果汇总分析完成时间，12月前；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**监测结果汇总分析完成时间</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**（项目任务）完成时限</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成本指标*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**（监测品种）**（监测类型）成本</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≤**万元/样品</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对资金支出成本控制进行量化描述。确实无法量化的指标值可采用定性表述。如：种植业产品例行监测成本，≤0.12万元/样品；XX≦项目成本支出。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**（项目任务）成本</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7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5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效益指标</w:t>
            </w: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经济效益指标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反映项目实施后产生的社会效益，无法量化的指标值可采用定性表述,不产生直接经济效益的可不填写。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社会效益指标*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有效促进农产品质量安全问题解决（报告中提出解决方案的问题数量/发现的问题）</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反映项目实施后产生的社会效益，无法量化的指标值可采用定性表述。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42"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生态效益指标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反映项目实施后对生态环境产生的影响，无法量化的指标值可采用定性表述，不涉及的项目可不填写。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可持续影响指标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有效促进农产品质量安全监管机制完善</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反映项目完成后，后续政策、资金保障程序，以及管理机制（人员机构）因素完善水平。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服务对象满意度</w:t>
            </w: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受检单位满意度</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反映服务对象或项目受益人对相关产出及其影响的认可程度，确实无法量化的指标值可采用定性表述。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监测/检测工作参与人员满意度</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eastAsia" w:ascii="仿宋_GB2312" w:hAnsi="仿宋_GB2312" w:eastAsia="仿宋_GB2312" w:cs="仿宋_GB2312"/>
                <w:i w:val="0"/>
                <w:color w:val="000000"/>
                <w:sz w:val="20"/>
                <w:szCs w:val="20"/>
                <w:u w:val="none"/>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rPr>
                <w:rFonts w:hint="eastAsia" w:ascii="仿宋_GB2312" w:hAnsi="仿宋_GB2312" w:eastAsia="仿宋_GB2312" w:cs="仿宋_GB2312"/>
                <w:i w:val="0"/>
                <w:color w:val="000000"/>
                <w:sz w:val="20"/>
                <w:szCs w:val="20"/>
                <w:u w:val="none"/>
              </w:rPr>
            </w:pPr>
          </w:p>
        </w:tc>
      </w:tr>
    </w:tbl>
    <w:p>
      <w:pPr>
        <w:rPr>
          <w:rFonts w:hint="eastAsia"/>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Times New Roman" w:hAnsi="Times New Roman" w:eastAsia="宋体" w:cs="Times New Roman"/>
          <w:sz w:val="21"/>
          <w:szCs w:val="22"/>
        </w:rPr>
        <w:br w:type="page"/>
      </w:r>
    </w:p>
    <w:tbl>
      <w:tblPr>
        <w:tblStyle w:val="14"/>
        <w:tblW w:w="131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00"/>
        <w:gridCol w:w="1632"/>
        <w:gridCol w:w="1631"/>
        <w:gridCol w:w="1323"/>
        <w:gridCol w:w="1631"/>
        <w:gridCol w:w="631"/>
        <w:gridCol w:w="863"/>
        <w:gridCol w:w="850"/>
        <w:gridCol w:w="967"/>
        <w:gridCol w:w="966"/>
        <w:gridCol w:w="1076"/>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r>
              <w:rPr>
                <w:rFonts w:hint="eastAsia" w:ascii="黑体" w:hAnsi="黑体" w:eastAsia="黑体" w:cs="黑体"/>
                <w:i w:val="0"/>
                <w:color w:val="000000"/>
                <w:kern w:val="0"/>
                <w:sz w:val="32"/>
                <w:szCs w:val="32"/>
                <w:u w:val="none"/>
                <w:lang w:val="en-US" w:eastAsia="zh-CN" w:bidi="ar"/>
              </w:rPr>
              <w:t>附表2-1</w:t>
            </w: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132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86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85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967"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96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107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c>
          <w:tcPr>
            <w:tcW w:w="105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32"/>
                <w:szCs w:val="32"/>
                <w:u w:val="none"/>
                <w:lang w:val="en-US" w:eastAsia="zh-CN" w:bidi="ar"/>
              </w:rPr>
              <w:t>XXXX年广东省XXXX项目预算支出明细表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序号</w:t>
            </w:r>
          </w:p>
        </w:tc>
        <w:tc>
          <w:tcPr>
            <w:tcW w:w="1632"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kern w:val="0"/>
                <w:sz w:val="20"/>
                <w:szCs w:val="20"/>
                <w:u w:val="none"/>
                <w:lang w:val="en-US" w:eastAsia="zh-CN" w:bidi="ar"/>
              </w:rPr>
            </w:pPr>
            <w:r>
              <w:rPr>
                <w:rFonts w:hint="eastAsia" w:ascii="仿宋_GB2312" w:hAnsi="仿宋_GB2312" w:eastAsia="仿宋_GB2312" w:cs="仿宋_GB2312"/>
                <w:b/>
                <w:i w:val="0"/>
                <w:color w:val="000000"/>
                <w:kern w:val="0"/>
                <w:sz w:val="20"/>
                <w:szCs w:val="20"/>
                <w:u w:val="none"/>
                <w:lang w:val="en-US" w:eastAsia="zh-CN" w:bidi="ar"/>
              </w:rPr>
              <w:t>对项目活动</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的描述</w:t>
            </w:r>
          </w:p>
        </w:tc>
        <w:tc>
          <w:tcPr>
            <w:tcW w:w="132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数量/频率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价格/标准（万元）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测算依据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632"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32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kern w:val="0"/>
                <w:sz w:val="20"/>
                <w:szCs w:val="20"/>
                <w:u w:val="none"/>
                <w:lang w:val="en-US" w:eastAsia="zh-CN" w:bidi="ar"/>
              </w:rPr>
            </w:pPr>
            <w:r>
              <w:rPr>
                <w:rFonts w:hint="eastAsia" w:ascii="仿宋_GB2312" w:hAnsi="仿宋_GB2312" w:eastAsia="仿宋_GB2312" w:cs="仿宋_GB2312"/>
                <w:b/>
                <w:i w:val="0"/>
                <w:color w:val="000000"/>
                <w:kern w:val="0"/>
                <w:sz w:val="20"/>
                <w:szCs w:val="20"/>
                <w:u w:val="none"/>
                <w:lang w:val="en-US" w:eastAsia="zh-CN" w:bidi="ar"/>
              </w:rPr>
              <w:t>其他来源</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5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bl>
    <w:p>
      <w:pPr>
        <w:rPr>
          <w:rFonts w:hint="eastAsia"/>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tbl>
      <w:tblPr>
        <w:tblStyle w:val="14"/>
        <w:tblW w:w="88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29"/>
        <w:gridCol w:w="1389"/>
        <w:gridCol w:w="1012"/>
        <w:gridCol w:w="431"/>
        <w:gridCol w:w="870"/>
        <w:gridCol w:w="673"/>
        <w:gridCol w:w="717"/>
        <w:gridCol w:w="1084"/>
        <w:gridCol w:w="1013"/>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r>
              <w:rPr>
                <w:rFonts w:hint="eastAsia" w:ascii="黑体" w:hAnsi="黑体" w:eastAsia="黑体" w:cs="黑体"/>
                <w:i w:val="0"/>
                <w:color w:val="000000"/>
                <w:kern w:val="0"/>
                <w:sz w:val="32"/>
                <w:szCs w:val="32"/>
                <w:u w:val="none"/>
                <w:lang w:val="en-US" w:eastAsia="zh-CN" w:bidi="ar"/>
              </w:rPr>
              <w:br w:type="page"/>
            </w:r>
            <w:r>
              <w:rPr>
                <w:rFonts w:hint="eastAsia" w:ascii="黑体" w:hAnsi="黑体" w:eastAsia="黑体" w:cs="黑体"/>
                <w:i w:val="0"/>
                <w:color w:val="000000"/>
                <w:kern w:val="0"/>
                <w:sz w:val="32"/>
                <w:szCs w:val="32"/>
                <w:u w:val="none"/>
                <w:lang w:val="en-US" w:eastAsia="zh-CN" w:bidi="ar"/>
              </w:rPr>
              <w:t>附表2-2</w:t>
            </w:r>
          </w:p>
        </w:tc>
        <w:tc>
          <w:tcPr>
            <w:tcW w:w="1012"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4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87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67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717"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084"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15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XXXX年广东省XXXX项目预算表（经济分类）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单位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数量/频率</w:t>
            </w: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单价/标准（万元）</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预算金额（万元）</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资金来源（万元）</w:t>
            </w:r>
          </w:p>
        </w:tc>
        <w:tc>
          <w:tcPr>
            <w:tcW w:w="115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测算依据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省级财政专项资金</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其他来源资金</w:t>
            </w:r>
          </w:p>
        </w:tc>
        <w:tc>
          <w:tcPr>
            <w:tcW w:w="1156"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71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8"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8"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8"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8"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8"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bl>
    <w:p>
      <w:pPr>
        <w:keepNext w:val="0"/>
        <w:keepLines w:val="0"/>
        <w:pageBreakBefore w:val="0"/>
        <w:kinsoku/>
        <w:wordWrap/>
        <w:overflowPunct/>
        <w:topLinePunct w:val="0"/>
        <w:autoSpaceDE/>
        <w:autoSpaceDN/>
        <w:bidi w:val="0"/>
        <w:adjustRightInd/>
        <w:snapToGrid w:val="0"/>
        <w:spacing w:line="420" w:lineRule="exact"/>
        <w:ind w:firstLine="0" w:firstLineChars="0"/>
        <w:jc w:val="both"/>
        <w:textAlignment w:val="auto"/>
        <w:rPr>
          <w:rFonts w:hint="eastAsia" w:ascii="仿宋_GB2312" w:hAnsi="仿宋_GB2312" w:eastAsia="仿宋_GB2312" w:cs="仿宋_GB2312"/>
          <w:b w:val="0"/>
          <w:bCs w:val="0"/>
          <w:color w:val="auto"/>
          <w:kern w:val="0"/>
          <w:sz w:val="36"/>
          <w:szCs w:val="36"/>
          <w:lang w:val="en-US" w:eastAsia="zh-CN"/>
        </w:rPr>
      </w:pPr>
    </w:p>
    <w:p>
      <w:pPr>
        <w:pStyle w:val="2"/>
        <w:rPr>
          <w:rFonts w:hint="default"/>
          <w:lang w:val="en-US" w:eastAsia="zh-CN"/>
        </w:rPr>
      </w:pPr>
    </w:p>
    <w:p>
      <w:pPr>
        <w:rPr>
          <w:rFonts w:hint="default"/>
          <w:lang w:val="en-US" w:eastAsia="zh-CN"/>
        </w:rPr>
      </w:pPr>
      <w:r>
        <w:rPr>
          <w:rFonts w:hint="default"/>
          <w:lang w:val="en-US" w:eastAsia="zh-CN"/>
        </w:rPr>
        <w:br w:type="page"/>
      </w:r>
    </w:p>
    <w:p>
      <w:pPr>
        <w:pStyle w:val="7"/>
        <w:bidi w:val="0"/>
        <w:rPr>
          <w:rFonts w:hint="default" w:ascii="方正小标宋简体" w:hAnsi="方正小标宋简体" w:eastAsia="方正小标宋简体" w:cs="方正小标宋简体"/>
          <w:b/>
          <w:bCs/>
          <w:color w:val="auto"/>
          <w:kern w:val="0"/>
          <w:szCs w:val="44"/>
          <w:lang w:val="en-US" w:eastAsia="zh-CN"/>
        </w:rPr>
      </w:pPr>
      <w:r>
        <w:rPr>
          <w:rFonts w:hint="eastAsia"/>
          <w:lang w:val="en-US" w:eastAsia="zh-CN"/>
        </w:rPr>
        <w:t>附件5-4</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广东省农业农村厅现代农业产业发展</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项目申报书模板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楷体" w:hAnsi="楷体" w:eastAsia="宋体" w:cs="楷体"/>
          <w:b/>
          <w:bCs/>
          <w:color w:val="auto"/>
          <w:kern w:val="2"/>
          <w:sz w:val="30"/>
          <w:szCs w:val="30"/>
          <w:lang w:val="en-US" w:eastAsia="zh-CN" w:bidi="ar-SA"/>
        </w:rPr>
      </w:pPr>
    </w:p>
    <w:p>
      <w:pPr>
        <w:adjustRightInd/>
        <w:snapToGrid/>
        <w:spacing w:line="240" w:lineRule="auto"/>
        <w:ind w:firstLine="0" w:firstLineChars="0"/>
        <w:rPr>
          <w:rFonts w:ascii="Times New Roman" w:hAnsi="Times New Roman" w:eastAsia="宋体" w:cs="Times New Roman"/>
          <w:color w:val="auto"/>
          <w:sz w:val="21"/>
          <w:szCs w:val="22"/>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40"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316"/>
          <w:cols w:space="0" w:num="1"/>
          <w:rtlGutter w:val="0"/>
          <w:docGrid w:type="lines" w:linePitch="595" w:charSpace="0"/>
        </w:sectPr>
      </w:pPr>
    </w:p>
    <w:p>
      <w:pPr>
        <w:numPr>
          <w:ilvl w:val="0"/>
          <w:numId w:val="4"/>
        </w:num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pPr>
        <w:adjustRightInd/>
        <w:snapToGrid/>
        <w:spacing w:line="360" w:lineRule="auto"/>
        <w:ind w:firstLine="560" w:firstLineChars="200"/>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（一）说明项目基本情况，包括项目名称、实施时间、项目预算、联系人等。（二）人员状况，包括</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和子</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实施时间</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项目预算</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财政资金</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自筹资金</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restart"/>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项目联系人</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continue"/>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工作单位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职务</w:t>
            </w:r>
          </w:p>
        </w:tc>
        <w:tc>
          <w:tcPr>
            <w:tcW w:w="1442" w:type="dxa"/>
            <w:vAlign w:val="center"/>
          </w:tcPr>
          <w:p>
            <w:pPr>
              <w:adjustRightInd/>
              <w:snapToGrid/>
              <w:spacing w:line="240" w:lineRule="auto"/>
              <w:ind w:firstLine="0" w:firstLineChars="0"/>
              <w:jc w:val="left"/>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办公电话</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传真</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（四）参与过其他同类型农业农村领域财政补助项目。</w:t>
            </w:r>
          </w:p>
        </w:tc>
      </w:tr>
    </w:tbl>
    <w:p>
      <w:pPr>
        <w:adjustRightInd w:val="0"/>
        <w:spacing w:line="360" w:lineRule="auto"/>
        <w:ind w:firstLine="560" w:firstLineChars="200"/>
        <w:rPr>
          <w:rFonts w:ascii="黑体" w:hAnsi="黑体" w:eastAsia="黑体" w:cs="黑体"/>
          <w:bCs/>
          <w:kern w:val="0"/>
          <w:sz w:val="28"/>
          <w:szCs w:val="28"/>
        </w:rPr>
        <w:sectPr>
          <w:footerReference r:id="rId41"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bidi w:val="0"/>
        <w:adjustRightInd w:val="0"/>
        <w:snapToGrid/>
        <w:spacing w:line="42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二、项目立项依据</w:t>
      </w:r>
    </w:p>
    <w:p>
      <w:pPr>
        <w:pageBreakBefore w:val="0"/>
        <w:widowControl w:val="0"/>
        <w:kinsoku/>
        <w:wordWrap/>
        <w:overflowPunct/>
        <w:topLinePunct w:val="0"/>
        <w:bidi w:val="0"/>
        <w:adjustRightInd/>
        <w:snapToGrid/>
        <w:spacing w:line="420" w:lineRule="exact"/>
        <w:ind w:firstLine="640" w:firstLineChars="200"/>
        <w:textAlignment w:val="auto"/>
        <w:outlineLvl w:val="1"/>
        <w:rPr>
          <w:rFonts w:ascii="楷体" w:hAnsi="楷体" w:eastAsia="楷体" w:cs="楷体"/>
          <w:bCs/>
          <w:kern w:val="0"/>
          <w:sz w:val="32"/>
          <w:szCs w:val="32"/>
        </w:rPr>
      </w:pPr>
      <w:r>
        <w:rPr>
          <w:rFonts w:hint="eastAsia" w:ascii="楷体" w:hAnsi="楷体" w:eastAsia="楷体" w:cs="楷体"/>
          <w:bCs/>
          <w:kern w:val="0"/>
          <w:sz w:val="32"/>
          <w:szCs w:val="32"/>
        </w:rPr>
        <w:t>（一）项目申报依据。</w:t>
      </w:r>
    </w:p>
    <w:p>
      <w:pPr>
        <w:keepNext/>
        <w:keepLines/>
        <w:pageBreakBefore w:val="0"/>
        <w:widowControl w:val="0"/>
        <w:numPr>
          <w:ilvl w:val="2"/>
          <w:numId w:val="0"/>
        </w:numPr>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说明申请项目立项的背景、政策依据及拟解决的问题，描述符合中央、广东省国民经济社会发展规划、行业发展规划和相关政策文件的情况。</w:t>
      </w:r>
    </w:p>
    <w:p>
      <w:pPr>
        <w:pageBreakBefore w:val="0"/>
        <w:widowControl w:val="0"/>
        <w:kinsoku/>
        <w:wordWrap/>
        <w:overflowPunct/>
        <w:topLinePunct w:val="0"/>
        <w:bidi w:val="0"/>
        <w:adjustRightInd/>
        <w:snapToGrid/>
        <w:spacing w:line="420" w:lineRule="exact"/>
        <w:ind w:firstLine="640" w:firstLineChars="200"/>
        <w:textAlignment w:val="auto"/>
        <w:outlineLvl w:val="1"/>
        <w:rPr>
          <w:rFonts w:ascii="楷体" w:hAnsi="楷体" w:eastAsia="楷体" w:cs="楷体"/>
          <w:bCs/>
          <w:kern w:val="0"/>
          <w:sz w:val="32"/>
          <w:szCs w:val="32"/>
        </w:rPr>
      </w:pPr>
      <w:r>
        <w:rPr>
          <w:rFonts w:hint="eastAsia" w:ascii="楷体" w:hAnsi="楷体" w:eastAsia="楷体" w:cs="楷体"/>
          <w:bCs/>
          <w:kern w:val="0"/>
          <w:sz w:val="32"/>
          <w:szCs w:val="32"/>
        </w:rPr>
        <w:t>（二）项目必要性分析。</w:t>
      </w:r>
    </w:p>
    <w:p>
      <w:pPr>
        <w:keepNext/>
        <w:keepLines/>
        <w:pageBreakBefore w:val="0"/>
        <w:widowControl w:val="0"/>
        <w:numPr>
          <w:ilvl w:val="2"/>
          <w:numId w:val="0"/>
        </w:numPr>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说明项目实施对完成农业农村领域</w:t>
      </w:r>
      <w:r>
        <w:rPr>
          <w:rFonts w:hint="eastAsia" w:ascii="仿宋_GB2312" w:hAnsi="仿宋_GB2312" w:eastAsia="仿宋_GB2312" w:cs="仿宋_GB2312"/>
          <w:b w:val="0"/>
          <w:bCs w:val="0"/>
          <w:color w:val="auto"/>
          <w:sz w:val="28"/>
          <w:szCs w:val="28"/>
        </w:rPr>
        <w:t>特定</w:t>
      </w:r>
      <w:r>
        <w:rPr>
          <w:rFonts w:hint="eastAsia" w:ascii="仿宋_GB2312" w:hAnsi="仿宋_GB2312" w:eastAsia="仿宋_GB2312" w:cs="仿宋_GB2312"/>
          <w:color w:val="auto"/>
          <w:sz w:val="28"/>
          <w:szCs w:val="28"/>
        </w:rPr>
        <w:t>工作任务或事业发展的意义与作用。拟实施内容与广东省相关农业监测、检测工作任务或事业发展计划之间的关联性等。论证说明申请财政资金补助的必要性。</w:t>
      </w:r>
    </w:p>
    <w:p>
      <w:pPr>
        <w:pageBreakBefore w:val="0"/>
        <w:widowControl w:val="0"/>
        <w:numPr>
          <w:ilvl w:val="0"/>
          <w:numId w:val="5"/>
        </w:numPr>
        <w:kinsoku/>
        <w:wordWrap/>
        <w:overflowPunct/>
        <w:topLinePunct w:val="0"/>
        <w:bidi w:val="0"/>
        <w:adjustRightInd/>
        <w:snapToGrid/>
        <w:spacing w:line="420" w:lineRule="exact"/>
        <w:ind w:firstLine="560" w:firstLineChars="200"/>
        <w:textAlignment w:val="auto"/>
        <w:outlineLvl w:val="1"/>
        <w:rPr>
          <w:rFonts w:ascii="楷体" w:hAnsi="楷体" w:eastAsia="楷体" w:cs="楷体"/>
          <w:sz w:val="28"/>
          <w:szCs w:val="28"/>
        </w:rPr>
      </w:pPr>
      <w:r>
        <w:rPr>
          <w:rFonts w:hint="eastAsia" w:ascii="楷体" w:hAnsi="楷体" w:eastAsia="楷体" w:cs="楷体"/>
          <w:sz w:val="28"/>
          <w:szCs w:val="28"/>
        </w:rPr>
        <w:t>项目前期工作情况。</w:t>
      </w:r>
    </w:p>
    <w:p>
      <w:pPr>
        <w:keepNext/>
        <w:keepLines/>
        <w:pageBreakBefore w:val="0"/>
        <w:widowControl w:val="0"/>
        <w:numPr>
          <w:ilvl w:val="2"/>
          <w:numId w:val="0"/>
        </w:numPr>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18"/>
        <w:pageBreakBefore w:val="0"/>
        <w:widowControl w:val="0"/>
        <w:kinsoku/>
        <w:wordWrap/>
        <w:overflowPunct/>
        <w:topLinePunct w:val="0"/>
        <w:bidi w:val="0"/>
        <w:snapToGrid/>
        <w:spacing w:line="420" w:lineRule="exact"/>
        <w:ind w:firstLine="560" w:firstLineChars="200"/>
        <w:jc w:val="both"/>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18"/>
        <w:pageBreakBefore w:val="0"/>
        <w:widowControl w:val="0"/>
        <w:kinsoku/>
        <w:wordWrap/>
        <w:overflowPunct/>
        <w:topLinePunct w:val="0"/>
        <w:bidi w:val="0"/>
        <w:snapToGrid/>
        <w:spacing w:line="420" w:lineRule="exact"/>
        <w:ind w:firstLine="560" w:firstLineChars="200"/>
        <w:jc w:val="both"/>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3.项目参与人员是否熟悉项目实施全过程管理制度、是否有参与过同类项目主管部门的项目经验。</w:t>
      </w:r>
    </w:p>
    <w:p>
      <w:pPr>
        <w:keepNext w:val="0"/>
        <w:keepLines w:val="0"/>
        <w:pageBreakBefore w:val="0"/>
        <w:widowControl w:val="0"/>
        <w:kinsoku/>
        <w:wordWrap/>
        <w:overflowPunct/>
        <w:topLinePunct w:val="0"/>
        <w:autoSpaceDE/>
        <w:autoSpaceDN/>
        <w:bidi w:val="0"/>
        <w:adjustRightInd w:val="0"/>
        <w:snapToGrid/>
        <w:spacing w:line="42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三、项目目标和建设内容</w:t>
      </w:r>
    </w:p>
    <w:p>
      <w:pPr>
        <w:keepNext w:val="0"/>
        <w:keepLines w:val="0"/>
        <w:pageBreakBefore w:val="0"/>
        <w:widowControl w:val="0"/>
        <w:kinsoku/>
        <w:wordWrap/>
        <w:overflowPunct/>
        <w:topLinePunct w:val="0"/>
        <w:bidi w:val="0"/>
        <w:adjustRightInd/>
        <w:snapToGrid/>
        <w:spacing w:line="420" w:lineRule="exact"/>
        <w:ind w:firstLine="640" w:firstLineChars="200"/>
        <w:textAlignment w:val="auto"/>
        <w:outlineLvl w:val="1"/>
        <w:rPr>
          <w:rFonts w:ascii="楷体" w:hAnsi="楷体" w:eastAsia="楷体" w:cs="楷体"/>
          <w:bCs/>
          <w:kern w:val="0"/>
          <w:sz w:val="32"/>
          <w:szCs w:val="32"/>
        </w:rPr>
      </w:pPr>
      <w:r>
        <w:rPr>
          <w:rFonts w:hint="eastAsia" w:ascii="楷体" w:hAnsi="楷体" w:eastAsia="楷体" w:cs="楷体"/>
          <w:sz w:val="32"/>
          <w:szCs w:val="32"/>
        </w:rPr>
        <w:t>（一）</w:t>
      </w:r>
      <w:r>
        <w:rPr>
          <w:rFonts w:hint="eastAsia" w:ascii="楷体" w:hAnsi="楷体" w:eastAsia="楷体" w:cs="楷体"/>
          <w:bCs/>
          <w:kern w:val="0"/>
          <w:sz w:val="32"/>
          <w:szCs w:val="32"/>
        </w:rPr>
        <w:t>项目目标。</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1.对项目总体目标进行描述，项目实施要实现何种结果，建成何种设施，具有什么样的经济、社会、生态效益。</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2.对具体绩效目标进行描述，绩效目标需清晰明确、全面反映项目实施效果、便于进行考核。包括：目标任务的具体数量参数，工作成果的质量标准，产出类指标和效益类指标。</w:t>
      </w:r>
    </w:p>
    <w:p>
      <w:pPr>
        <w:keepNext w:val="0"/>
        <w:keepLines w:val="0"/>
        <w:pageBreakBefore w:val="0"/>
        <w:widowControl w:val="0"/>
        <w:kinsoku/>
        <w:wordWrap/>
        <w:overflowPunct/>
        <w:topLinePunct w:val="0"/>
        <w:bidi w:val="0"/>
        <w:adjustRightInd/>
        <w:snapToGrid/>
        <w:spacing w:line="420" w:lineRule="exact"/>
        <w:ind w:firstLine="640" w:firstLineChars="200"/>
        <w:textAlignment w:val="auto"/>
        <w:outlineLvl w:val="1"/>
        <w:rPr>
          <w:rFonts w:ascii="楷体" w:hAnsi="楷体" w:eastAsia="楷体" w:cs="楷体"/>
          <w:sz w:val="32"/>
          <w:szCs w:val="32"/>
        </w:rPr>
      </w:pPr>
      <w:r>
        <w:rPr>
          <w:rFonts w:hint="eastAsia" w:ascii="楷体" w:hAnsi="楷体" w:eastAsia="楷体" w:cs="楷体"/>
          <w:sz w:val="32"/>
          <w:szCs w:val="32"/>
        </w:rPr>
        <w:t>（二）建设内容。</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1.XX项目建设内容。</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pStyle w:val="18"/>
        <w:keepNext w:val="0"/>
        <w:keepLines w:val="0"/>
        <w:pageBreakBefore w:val="0"/>
        <w:widowControl w:val="0"/>
        <w:kinsoku/>
        <w:wordWrap/>
        <w:overflowPunct/>
        <w:topLinePunct w:val="0"/>
        <w:bidi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（如用于道路建设、土地平整与改良等</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请说明</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2.XX项目建设内容。</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3.XX项目建设内容。</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keepNext w:val="0"/>
        <w:keepLines w:val="0"/>
        <w:pageBreakBefore w:val="0"/>
        <w:widowControl w:val="0"/>
        <w:kinsoku/>
        <w:wordWrap/>
        <w:overflowPunct/>
        <w:topLinePunct w:val="0"/>
        <w:bidi w:val="0"/>
        <w:adjustRightInd/>
        <w:snapToGrid/>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pStyle w:val="18"/>
        <w:keepNext w:val="0"/>
        <w:keepLines w:val="0"/>
        <w:pageBreakBefore w:val="0"/>
        <w:widowControl w:val="0"/>
        <w:kinsoku/>
        <w:wordWrap/>
        <w:overflowPunct/>
        <w:topLinePunct w:val="0"/>
        <w:bidi w:val="0"/>
        <w:spacing w:line="420" w:lineRule="exact"/>
        <w:ind w:firstLine="640" w:firstLineChars="200"/>
        <w:jc w:val="both"/>
        <w:textAlignment w:val="auto"/>
        <w:outlineLvl w:val="1"/>
        <w:rPr>
          <w:rFonts w:ascii="楷体" w:hAnsi="楷体" w:eastAsia="楷体" w:cs="楷体"/>
          <w:color w:val="auto"/>
          <w:kern w:val="2"/>
          <w:sz w:val="32"/>
          <w:szCs w:val="32"/>
        </w:rPr>
      </w:pPr>
      <w:r>
        <w:rPr>
          <w:rFonts w:hint="eastAsia" w:ascii="楷体" w:hAnsi="楷体" w:eastAsia="楷体" w:cs="楷体"/>
          <w:color w:val="auto"/>
          <w:kern w:val="2"/>
          <w:sz w:val="32"/>
          <w:szCs w:val="32"/>
        </w:rPr>
        <w:t>（三）技术路线。</w:t>
      </w:r>
    </w:p>
    <w:p>
      <w:pPr>
        <w:pStyle w:val="18"/>
        <w:keepNext w:val="0"/>
        <w:keepLines w:val="0"/>
        <w:pageBreakBefore w:val="0"/>
        <w:widowControl w:val="0"/>
        <w:kinsoku/>
        <w:wordWrap/>
        <w:overflowPunct/>
        <w:topLinePunct w:val="0"/>
        <w:bidi w:val="0"/>
        <w:spacing w:line="42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1.论证项目实施所选的技术路线与实现项目目标之间的关联性。</w:t>
      </w:r>
    </w:p>
    <w:p>
      <w:pPr>
        <w:pStyle w:val="18"/>
        <w:keepNext w:val="0"/>
        <w:keepLines w:val="0"/>
        <w:pageBreakBefore w:val="0"/>
        <w:widowControl w:val="0"/>
        <w:kinsoku/>
        <w:wordWrap/>
        <w:overflowPunct/>
        <w:topLinePunct w:val="0"/>
        <w:bidi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2.论证项目实施方案的路径选择是否最优的说明（是否有其他代方案，为何选择本方案）；</w:t>
      </w:r>
    </w:p>
    <w:p>
      <w:pPr>
        <w:keepNext w:val="0"/>
        <w:keepLines w:val="0"/>
        <w:pageBreakBefore w:val="0"/>
        <w:widowControl w:val="0"/>
        <w:kinsoku/>
        <w:wordWrap/>
        <w:overflowPunct/>
        <w:topLinePunct w:val="0"/>
        <w:bidi w:val="0"/>
        <w:adjustRightInd w:val="0"/>
        <w:snapToGrid/>
        <w:spacing w:line="42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四、项目实施方案及进度安排</w:t>
      </w:r>
    </w:p>
    <w:p>
      <w:pPr>
        <w:keepNext w:val="0"/>
        <w:keepLines w:val="0"/>
        <w:pageBreakBefore w:val="0"/>
        <w:widowControl w:val="0"/>
        <w:kinsoku/>
        <w:wordWrap/>
        <w:overflowPunct/>
        <w:topLinePunct w:val="0"/>
        <w:bidi w:val="0"/>
        <w:adjustRightInd w:val="0"/>
        <w:snapToGrid w:val="0"/>
        <w:spacing w:line="420" w:lineRule="exact"/>
        <w:ind w:firstLine="562" w:firstLineChars="200"/>
        <w:textAlignment w:val="auto"/>
        <w:outlineLvl w:val="1"/>
        <w:rPr>
          <w:rFonts w:ascii="仿宋" w:hAnsi="仿宋" w:eastAsia="仿宋" w:cs="仿宋"/>
          <w:bCs/>
          <w:color w:val="000000"/>
          <w:sz w:val="28"/>
          <w:szCs w:val="28"/>
        </w:rPr>
      </w:pPr>
      <w:r>
        <w:rPr>
          <w:rFonts w:hint="eastAsia" w:ascii="仿宋" w:hAnsi="仿宋" w:eastAsia="仿宋" w:cs="仿宋"/>
          <w:b/>
          <w:kern w:val="0"/>
          <w:sz w:val="28"/>
          <w:szCs w:val="28"/>
        </w:rPr>
        <w:t>（一）</w:t>
      </w:r>
      <w:r>
        <w:rPr>
          <w:rFonts w:hint="eastAsia" w:ascii="仿宋" w:hAnsi="仿宋" w:eastAsia="仿宋" w:cs="仿宋"/>
          <w:bCs/>
          <w:color w:val="000000"/>
          <w:sz w:val="28"/>
          <w:szCs w:val="28"/>
        </w:rPr>
        <w:t>项目实施计划、进度安排。</w:t>
      </w:r>
    </w:p>
    <w:p>
      <w:pPr>
        <w:keepNext w:val="0"/>
        <w:keepLines w:val="0"/>
        <w:pageBreakBefore w:val="0"/>
        <w:widowControl w:val="0"/>
        <w:kinsoku/>
        <w:wordWrap/>
        <w:overflowPunct/>
        <w:topLinePunct w:val="0"/>
        <w:bidi w:val="0"/>
        <w:adjustRightInd w:val="0"/>
        <w:snapToGrid w:val="0"/>
        <w:spacing w:line="420" w:lineRule="exact"/>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1.项目是否需要分包、采购或招投标。</w:t>
      </w:r>
      <w:r>
        <w:rPr>
          <w:rFonts w:hint="eastAsia" w:ascii="仿宋_GB2312" w:hAnsi="仿宋_GB2312" w:eastAsia="仿宋_GB2312" w:cs="仿宋_GB2312"/>
          <w:color w:val="auto"/>
          <w:sz w:val="28"/>
          <w:szCs w:val="28"/>
        </w:rPr>
        <w:t>项目负责人及项目组成员任务分工等。</w:t>
      </w:r>
      <w:r>
        <w:rPr>
          <w:rFonts w:hint="eastAsia" w:ascii="仿宋_GB2312" w:hAnsi="仿宋_GB2312" w:eastAsia="仿宋_GB2312" w:cs="仿宋_GB2312"/>
          <w:bCs/>
          <w:color w:val="auto"/>
          <w:sz w:val="28"/>
          <w:szCs w:val="28"/>
        </w:rPr>
        <w:t>按照项目实施阶段来撰写，思路通顺，把项目实施情况说明清楚。完成情况要说明项目完工、验收（初验、终验等）情况，如何组织验收，预计验收时间等。</w:t>
      </w:r>
    </w:p>
    <w:p>
      <w:pPr>
        <w:adjustRightInd/>
        <w:snapToGrid/>
        <w:spacing w:line="360" w:lineRule="auto"/>
        <w:ind w:firstLine="0" w:firstLineChars="0"/>
        <w:jc w:val="center"/>
        <w:rPr>
          <w:rFonts w:hint="eastAsia" w:ascii="方正小标宋简体" w:hAnsi="方正小标宋简体" w:eastAsia="方正小标宋简体" w:cs="方正小标宋简体"/>
          <w:b w:val="0"/>
          <w:bCs/>
          <w:sz w:val="32"/>
          <w:szCs w:val="32"/>
        </w:rPr>
      </w:pPr>
      <w:r>
        <w:rPr>
          <w:rFonts w:hint="eastAsia" w:ascii="方正小标宋简体" w:hAnsi="方正小标宋简体" w:eastAsia="方正小标宋简体" w:cs="方正小标宋简体"/>
          <w:b w:val="0"/>
          <w:bCs/>
          <w:sz w:val="32"/>
          <w:szCs w:val="32"/>
        </w:rPr>
        <w:t>表4-1：项目实施进度计划表</w:t>
      </w:r>
    </w:p>
    <w:tbl>
      <w:tblPr>
        <w:tblStyle w:val="14"/>
        <w:tblW w:w="8522" w:type="dxa"/>
        <w:jc w:val="center"/>
        <w:shd w:val="clear" w:color="auto" w:fill="auto"/>
        <w:tblLayout w:type="fixed"/>
        <w:tblCellMar>
          <w:top w:w="0" w:type="dxa"/>
          <w:left w:w="108" w:type="dxa"/>
          <w:bottom w:w="0" w:type="dxa"/>
          <w:right w:w="108" w:type="dxa"/>
        </w:tblCellMar>
      </w:tblPr>
      <w:tblGrid>
        <w:gridCol w:w="1065"/>
        <w:gridCol w:w="1737"/>
        <w:gridCol w:w="2984"/>
        <w:gridCol w:w="2736"/>
      </w:tblGrid>
      <w:tr>
        <w:tblPrEx>
          <w:shd w:val="clear" w:color="auto" w:fill="auto"/>
          <w:tblCellMar>
            <w:top w:w="0" w:type="dxa"/>
            <w:left w:w="108" w:type="dxa"/>
            <w:bottom w:w="0" w:type="dxa"/>
            <w:right w:w="108" w:type="dxa"/>
          </w:tblCellMar>
        </w:tblPrEx>
        <w:trPr>
          <w:trHeight w:val="578" w:hRule="atLeast"/>
          <w:tblHeader/>
          <w:jc w:val="cent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工作进度</w:t>
            </w: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5</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7</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8</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9</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550" w:hRule="atLeast"/>
          <w:jc w:val="center"/>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10</w:t>
            </w:r>
          </w:p>
        </w:tc>
        <w:tc>
          <w:tcPr>
            <w:tcW w:w="17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bl>
    <w:p>
      <w:pPr>
        <w:adjustRightInd w:val="0"/>
        <w:snapToGrid w:val="0"/>
        <w:spacing w:line="560" w:lineRule="exact"/>
        <w:ind w:firstLine="588" w:firstLineChars="0"/>
        <w:rPr>
          <w:rFonts w:ascii="仿宋_GB2312" w:hAnsi="仿宋_GB2312" w:eastAsia="仿宋_GB2312" w:cs="仿宋_GB2312"/>
          <w:bCs/>
          <w:color w:val="000000"/>
          <w:sz w:val="28"/>
          <w:szCs w:val="28"/>
        </w:rPr>
      </w:pPr>
      <w:r>
        <w:rPr>
          <w:rFonts w:hint="eastAsia" w:ascii="仿宋" w:hAnsi="仿宋" w:eastAsia="仿宋" w:cs="仿宋"/>
          <w:sz w:val="28"/>
          <w:szCs w:val="28"/>
        </w:rPr>
        <w:t>2.</w:t>
      </w:r>
      <w:r>
        <w:rPr>
          <w:rFonts w:hint="eastAsia" w:ascii="仿宋" w:hAnsi="仿宋" w:eastAsia="仿宋" w:cs="仿宋"/>
          <w:bCs/>
          <w:color w:val="000000"/>
          <w:sz w:val="28"/>
          <w:szCs w:val="28"/>
        </w:rPr>
        <w:t>项目实施过程中可能的目标、计划调整情况。如果项目有调整（包括设计、施工等方面）情况，要说明项目调整可能的原因，如何减少不必要的调整，相关风险管理措施等。</w:t>
      </w:r>
    </w:p>
    <w:p>
      <w:pPr>
        <w:adjustRightInd w:val="0"/>
        <w:snapToGrid w:val="0"/>
        <w:spacing w:line="560" w:lineRule="exact"/>
        <w:ind w:firstLine="590" w:firstLineChars="0"/>
        <w:outlineLvl w:val="1"/>
        <w:rPr>
          <w:rFonts w:ascii="楷体" w:hAnsi="楷体" w:eastAsia="楷体" w:cs="楷体"/>
          <w:bCs/>
          <w:color w:val="000000"/>
          <w:sz w:val="28"/>
          <w:szCs w:val="28"/>
        </w:rPr>
      </w:pPr>
      <w:r>
        <w:rPr>
          <w:rFonts w:hint="eastAsia" w:ascii="楷体" w:hAnsi="楷体" w:eastAsia="楷体" w:cs="楷体"/>
          <w:bCs/>
          <w:color w:val="000000"/>
          <w:sz w:val="28"/>
          <w:szCs w:val="28"/>
        </w:rPr>
        <w:t>（二）项目管理制度。</w:t>
      </w:r>
    </w:p>
    <w:p>
      <w:pPr>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pPr>
        <w:adjustRightInd w:val="0"/>
        <w:snapToGrid w:val="0"/>
        <w:spacing w:line="360" w:lineRule="auto"/>
        <w:ind w:firstLine="560" w:firstLineChars="200"/>
        <w:outlineLvl w:val="1"/>
        <w:rPr>
          <w:rFonts w:ascii="楷体" w:hAnsi="楷体" w:eastAsia="楷体" w:cs="楷体"/>
          <w:bCs/>
          <w:color w:val="000000"/>
          <w:sz w:val="28"/>
          <w:szCs w:val="28"/>
        </w:rPr>
      </w:pPr>
      <w:r>
        <w:rPr>
          <w:rFonts w:hint="eastAsia" w:ascii="楷体" w:hAnsi="楷体" w:eastAsia="楷体" w:cs="楷体"/>
          <w:bCs/>
          <w:color w:val="000000"/>
          <w:sz w:val="28"/>
          <w:szCs w:val="28"/>
        </w:rPr>
        <w:t>（三）财务管理制度。</w:t>
      </w:r>
    </w:p>
    <w:p>
      <w:pPr>
        <w:adjustRightInd w:val="0"/>
        <w:snapToGrid w:val="0"/>
        <w:spacing w:line="360" w:lineRule="auto"/>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pPr>
        <w:numPr>
          <w:ilvl w:val="0"/>
          <w:numId w:val="5"/>
        </w:numPr>
        <w:adjustRightInd w:val="0"/>
        <w:snapToGrid w:val="0"/>
        <w:spacing w:line="360" w:lineRule="auto"/>
        <w:ind w:firstLine="560" w:firstLineChars="200"/>
        <w:outlineLvl w:val="1"/>
        <w:rPr>
          <w:rFonts w:ascii="楷体" w:hAnsi="楷体" w:eastAsia="楷体" w:cs="楷体"/>
          <w:bCs/>
          <w:color w:val="000000"/>
          <w:sz w:val="28"/>
          <w:szCs w:val="28"/>
        </w:rPr>
      </w:pPr>
      <w:r>
        <w:rPr>
          <w:rFonts w:hint="eastAsia" w:ascii="楷体" w:hAnsi="楷体" w:eastAsia="楷体" w:cs="楷体"/>
          <w:bCs/>
          <w:color w:val="000000"/>
          <w:sz w:val="28"/>
          <w:szCs w:val="28"/>
        </w:rPr>
        <w:t>内部控制制度。</w:t>
      </w:r>
    </w:p>
    <w:p>
      <w:pPr>
        <w:adjustRightInd w:val="0"/>
        <w:snapToGrid w:val="0"/>
        <w:spacing w:line="360" w:lineRule="auto"/>
        <w:ind w:firstLine="560" w:firstLineChars="200"/>
        <w:rPr>
          <w:rFonts w:ascii="Times New Roman" w:hAnsi="Times New Roman" w:eastAsia="宋体" w:cs="Times New Roman"/>
          <w:sz w:val="21"/>
          <w:szCs w:val="22"/>
        </w:rPr>
      </w:pPr>
      <w:r>
        <w:rPr>
          <w:rFonts w:hint="eastAsia" w:ascii="仿宋_GB2312" w:hAnsi="仿宋_GB2312" w:eastAsia="仿宋_GB2312" w:cs="仿宋_GB2312"/>
          <w:bCs/>
          <w:color w:val="000000"/>
          <w:sz w:val="28"/>
          <w:szCs w:val="28"/>
        </w:rPr>
        <w:t>阐述和说明项目实施中遵守哪些中央、省级和单位内部控制制度，为本项目实施需新制定或更新了哪些内部控制规则。</w:t>
      </w:r>
    </w:p>
    <w:p>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如已通过发改部门批复可行性研究报告，则附上报告。</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如不需要发改部门批复立项，则简要论证项目实施的可行性，如:预算的合理性可靠性，项目风险与不确定性，人员条件、资金条件、基础设施、制度条件等项目实施保障条件等）。</w:t>
      </w:r>
    </w:p>
    <w:p>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（简要介绍项目预计实现的整体目标，并对目标进行必要的分解，明确具体的目标和目标的考核指标，并提出明确的考核指标值；对预计产生的绩效效益逐项进行说明）</w:t>
      </w:r>
    </w:p>
    <w:p>
      <w:pPr>
        <w:adjustRightInd w:val="0"/>
        <w:snapToGrid w:val="0"/>
        <w:spacing w:line="360" w:lineRule="auto"/>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1.总体目标；</w:t>
      </w:r>
    </w:p>
    <w:p>
      <w:pPr>
        <w:adjustRightInd w:val="0"/>
        <w:snapToGrid w:val="0"/>
        <w:spacing w:line="360" w:lineRule="auto"/>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2.产出指标(含数量指标、质量指标、时效指标、成本指标)；</w:t>
      </w:r>
    </w:p>
    <w:p>
      <w:pPr>
        <w:adjustRightInd w:val="0"/>
        <w:snapToGrid w:val="0"/>
        <w:spacing w:line="360" w:lineRule="auto"/>
        <w:ind w:firstLine="560" w:firstLineChars="200"/>
        <w:rPr>
          <w:rFonts w:ascii="仿宋_GB2312" w:hAnsi="仿宋_GB2312" w:eastAsia="仿宋_GB2312" w:cs="仿宋_GB2312"/>
          <w:bCs/>
          <w:color w:val="000000"/>
          <w:sz w:val="28"/>
          <w:szCs w:val="28"/>
        </w:rPr>
        <w:sectPr>
          <w:pgSz w:w="11906" w:h="16838"/>
          <w:pgMar w:top="1803" w:right="1440" w:bottom="1803"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_GB2312" w:hAnsi="仿宋_GB2312" w:eastAsia="仿宋_GB2312" w:cs="仿宋_GB2312"/>
          <w:bCs/>
          <w:color w:val="000000"/>
          <w:sz w:val="28"/>
          <w:szCs w:val="28"/>
        </w:rPr>
        <w:t>3.效益指标(含经济效益指标、生态效益指标、社会效益指标、可持续发展指标、服务对象满意度指标)；</w:t>
      </w:r>
    </w:p>
    <w:p>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pPr>
        <w:autoSpaceDE w:val="0"/>
        <w:autoSpaceDN w:val="0"/>
        <w:adjustRightInd/>
        <w:snapToGrid/>
        <w:spacing w:line="360" w:lineRule="auto"/>
        <w:ind w:firstLine="0" w:firstLineChars="0"/>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项目支出预算汇总表</w:t>
      </w:r>
    </w:p>
    <w:p>
      <w:pPr>
        <w:autoSpaceDE w:val="0"/>
        <w:autoSpaceDN w:val="0"/>
        <w:adjustRightInd w:val="0"/>
        <w:snapToGrid w:val="0"/>
        <w:spacing w:line="300" w:lineRule="auto"/>
        <w:ind w:firstLine="0" w:firstLineChars="0"/>
        <w:jc w:val="righ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单位：元</w:t>
      </w:r>
    </w:p>
    <w:tbl>
      <w:tblPr>
        <w:tblStyle w:val="14"/>
        <w:tblW w:w="859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89"/>
        <w:gridCol w:w="2025"/>
        <w:gridCol w:w="2100"/>
        <w:gridCol w:w="2133"/>
        <w:gridCol w:w="1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hint="eastAsia" w:ascii="黑体" w:hAnsi="黑体" w:eastAsia="黑体" w:cs="黑体"/>
                <w:sz w:val="24"/>
                <w:szCs w:val="24"/>
              </w:rPr>
            </w:pPr>
            <w:r>
              <w:rPr>
                <w:rFonts w:hint="eastAsia" w:ascii="黑体" w:hAnsi="黑体" w:eastAsia="黑体" w:cs="黑体"/>
                <w:b/>
                <w:bCs/>
                <w:sz w:val="24"/>
                <w:szCs w:val="24"/>
              </w:rPr>
              <w:t>序号</w:t>
            </w:r>
          </w:p>
        </w:tc>
        <w:tc>
          <w:tcPr>
            <w:tcW w:w="2025" w:type="dxa"/>
            <w:vAlign w:val="center"/>
          </w:tcPr>
          <w:p>
            <w:pPr>
              <w:autoSpaceDE w:val="0"/>
              <w:autoSpaceDN w:val="0"/>
              <w:adjustRightInd w:val="0"/>
              <w:snapToGrid w:val="0"/>
              <w:spacing w:line="300" w:lineRule="auto"/>
              <w:ind w:firstLine="0" w:firstLineChars="0"/>
              <w:jc w:val="center"/>
              <w:rPr>
                <w:rFonts w:hint="eastAsia" w:ascii="黑体" w:hAnsi="黑体" w:eastAsia="黑体" w:cs="黑体"/>
                <w:sz w:val="24"/>
                <w:szCs w:val="24"/>
              </w:rPr>
            </w:pPr>
            <w:r>
              <w:rPr>
                <w:rFonts w:hint="eastAsia" w:ascii="黑体" w:hAnsi="黑体" w:eastAsia="黑体" w:cs="黑体"/>
                <w:b/>
                <w:bCs/>
                <w:sz w:val="24"/>
                <w:szCs w:val="24"/>
              </w:rPr>
              <w:t>项目类别</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hint="eastAsia" w:ascii="黑体" w:hAnsi="黑体" w:eastAsia="黑体" w:cs="黑体"/>
                <w:b/>
                <w:bCs/>
                <w:sz w:val="24"/>
                <w:szCs w:val="24"/>
              </w:rPr>
            </w:pPr>
            <w:r>
              <w:rPr>
                <w:rFonts w:hint="eastAsia" w:ascii="黑体" w:hAnsi="黑体" w:eastAsia="黑体" w:cs="黑体"/>
                <w:b/>
                <w:bCs/>
                <w:sz w:val="24"/>
                <w:szCs w:val="24"/>
              </w:rPr>
              <w:t>合计</w:t>
            </w: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jc w:val="center"/>
              <w:rPr>
                <w:rFonts w:hint="eastAsia" w:ascii="黑体" w:hAnsi="黑体" w:eastAsia="黑体" w:cs="黑体"/>
                <w:sz w:val="24"/>
                <w:szCs w:val="24"/>
              </w:rPr>
            </w:pPr>
            <w:r>
              <w:rPr>
                <w:rFonts w:hint="eastAsia" w:ascii="黑体" w:hAnsi="黑体" w:eastAsia="黑体" w:cs="黑体"/>
                <w:b/>
                <w:bCs/>
                <w:sz w:val="24"/>
                <w:szCs w:val="24"/>
              </w:rPr>
              <w:t>财政资金</w:t>
            </w:r>
          </w:p>
        </w:tc>
        <w:tc>
          <w:tcPr>
            <w:tcW w:w="1644"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hint="eastAsia" w:ascii="黑体" w:hAnsi="黑体" w:eastAsia="黑体" w:cs="黑体"/>
                <w:sz w:val="24"/>
                <w:szCs w:val="24"/>
              </w:rPr>
            </w:pPr>
            <w:r>
              <w:rPr>
                <w:rFonts w:hint="eastAsia" w:ascii="黑体" w:hAnsi="黑体" w:eastAsia="黑体" w:cs="黑体"/>
                <w:b/>
                <w:bCs/>
                <w:sz w:val="24"/>
                <w:szCs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714" w:type="dxa"/>
            <w:gridSpan w:val="2"/>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合计</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hint="eastAsia"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农业设施</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土地流转</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19"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产业融合</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025" w:type="dxa"/>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科技研发与</w:t>
            </w:r>
          </w:p>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信息支撑</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农业品牌</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贷款贴息</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2025" w:type="dxa"/>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2100" w:type="dxa"/>
            <w:tcBorders>
              <w:right w:val="single" w:color="auto" w:sz="4" w:space="0"/>
            </w:tcBorders>
            <w:vAlign w:val="center"/>
          </w:tcPr>
          <w:p>
            <w:pPr>
              <w:autoSpaceDE w:val="0"/>
              <w:autoSpaceDN w:val="0"/>
              <w:adjustRightInd w:val="0"/>
              <w:snapToGrid w:val="0"/>
              <w:spacing w:line="300" w:lineRule="auto"/>
              <w:ind w:firstLine="0" w:firstLineChars="0"/>
              <w:jc w:val="center"/>
              <w:rPr>
                <w:rFonts w:ascii="仿宋_GB2312" w:hAnsi="仿宋_GB2312" w:eastAsia="仿宋_GB2312" w:cs="仿宋_GB2312"/>
                <w:b/>
                <w:bCs/>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c>
          <w:tcPr>
            <w:tcW w:w="1644" w:type="dxa"/>
            <w:tcBorders>
              <w:right w:val="single" w:color="auto" w:sz="4" w:space="0"/>
            </w:tcBorders>
          </w:tcPr>
          <w:p>
            <w:pPr>
              <w:autoSpaceDE w:val="0"/>
              <w:autoSpaceDN w:val="0"/>
              <w:adjustRightInd w:val="0"/>
              <w:snapToGrid w:val="0"/>
              <w:spacing w:line="300" w:lineRule="auto"/>
              <w:ind w:firstLine="0" w:firstLineChars="0"/>
              <w:rPr>
                <w:rFonts w:ascii="仿宋_GB2312" w:hAnsi="仿宋_GB2312" w:eastAsia="仿宋_GB2312" w:cs="仿宋_GB2312"/>
                <w:sz w:val="24"/>
                <w:szCs w:val="24"/>
              </w:rPr>
            </w:pPr>
          </w:p>
        </w:tc>
      </w:tr>
    </w:tbl>
    <w:p>
      <w:pPr>
        <w:autoSpaceDE w:val="0"/>
        <w:autoSpaceDN w:val="0"/>
        <w:adjustRightInd w:val="0"/>
        <w:snapToGrid w:val="0"/>
        <w:spacing w:line="300" w:lineRule="auto"/>
        <w:ind w:firstLine="0" w:firstLineChars="0"/>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注：需提供相应明细表；</w:t>
      </w:r>
    </w:p>
    <w:p>
      <w:pPr>
        <w:adjustRightInd/>
        <w:snapToGrid/>
        <w:spacing w:line="240" w:lineRule="auto"/>
        <w:ind w:firstLine="0" w:firstLineChars="0"/>
        <w:rPr>
          <w:rFonts w:ascii="Times New Roman" w:hAnsi="Times New Roman" w:eastAsia="宋体" w:cs="Times New Roman"/>
          <w:sz w:val="21"/>
          <w:szCs w:val="22"/>
        </w:rPr>
      </w:pPr>
    </w:p>
    <w:p>
      <w:p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1.农业设施预算明细表</w:t>
      </w:r>
    </w:p>
    <w:p>
      <w:pPr>
        <w:adjustRightInd/>
        <w:snapToGrid/>
        <w:spacing w:line="240" w:lineRule="auto"/>
        <w:ind w:firstLine="0" w:firstLineChars="0"/>
        <w:jc w:val="righ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单位：元</w:t>
      </w:r>
    </w:p>
    <w:tbl>
      <w:tblPr>
        <w:tblStyle w:val="14"/>
        <w:tblW w:w="13970" w:type="dxa"/>
        <w:tblInd w:w="0" w:type="dxa"/>
        <w:shd w:val="clear" w:color="auto" w:fill="auto"/>
        <w:tblLayout w:type="fixed"/>
        <w:tblCellMar>
          <w:top w:w="0" w:type="dxa"/>
          <w:left w:w="0" w:type="dxa"/>
          <w:bottom w:w="0" w:type="dxa"/>
          <w:right w:w="0" w:type="dxa"/>
        </w:tblCellMar>
      </w:tblPr>
      <w:tblGrid>
        <w:gridCol w:w="1232"/>
        <w:gridCol w:w="930"/>
        <w:gridCol w:w="983"/>
        <w:gridCol w:w="1808"/>
        <w:gridCol w:w="1185"/>
        <w:gridCol w:w="1319"/>
        <w:gridCol w:w="1268"/>
        <w:gridCol w:w="1310"/>
        <w:gridCol w:w="1160"/>
        <w:gridCol w:w="1906"/>
        <w:gridCol w:w="869"/>
      </w:tblGrid>
      <w:tr>
        <w:tblPrEx>
          <w:shd w:val="clear" w:color="auto" w:fill="auto"/>
          <w:tblCellMar>
            <w:top w:w="0" w:type="dxa"/>
            <w:left w:w="0" w:type="dxa"/>
            <w:bottom w:w="0" w:type="dxa"/>
            <w:right w:w="0" w:type="dxa"/>
          </w:tblCellMar>
        </w:tblPrEx>
        <w:trPr>
          <w:trHeight w:val="397" w:hRule="atLeast"/>
          <w:tblHeader/>
        </w:trPr>
        <w:tc>
          <w:tcPr>
            <w:tcW w:w="3145"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3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trPr>
        <w:tc>
          <w:tcPr>
            <w:tcW w:w="3145"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面积</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长度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个/件数</w:t>
            </w:r>
          </w:p>
        </w:tc>
        <w:tc>
          <w:tcPr>
            <w:tcW w:w="13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6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20" w:hRule="atLeast"/>
        </w:trPr>
        <w:tc>
          <w:tcPr>
            <w:tcW w:w="10035"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245"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农业基础设施建设</w:t>
            </w: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交通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道路建设</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9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道路硬化</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8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2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86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245"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1808" w:type="dxa"/>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85"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268"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6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906"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86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水利</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农田灌溉水利建设</w:t>
            </w:r>
          </w:p>
        </w:tc>
        <w:tc>
          <w:tcPr>
            <w:tcW w:w="1808"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蓄水池</w:t>
            </w:r>
          </w:p>
        </w:tc>
        <w:tc>
          <w:tcPr>
            <w:tcW w:w="1808"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8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268"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6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90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86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180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8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2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3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86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电力和能源</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电网改造</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农业产业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产业基地的建设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环境生态</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垃圾处理设施建设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污水处理建设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村部建设</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办公场所建设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生产大棚</w:t>
            </w: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种植大棚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蔬菜设施大棚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蔬菜薄膜大棚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蔬菜温室大棚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育苗大棚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养殖大棚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加工用房建设</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节水灌溉</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滴灌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微喷带</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水肥一体化</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水肥一体化设备</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3145"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adjustRightInd/>
              <w:snapToGrid/>
              <w:spacing w:line="240" w:lineRule="auto"/>
              <w:ind w:firstLine="0" w:firstLineChars="0"/>
              <w:jc w:val="left"/>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2.土地流转预算明细表</w:t>
      </w:r>
    </w:p>
    <w:p>
      <w:pPr>
        <w:adjustRightInd/>
        <w:snapToGrid/>
        <w:spacing w:line="240" w:lineRule="auto"/>
        <w:ind w:firstLine="0" w:firstLineChars="0"/>
        <w:jc w:val="right"/>
        <w:rPr>
          <w:rFonts w:hint="eastAsia" w:ascii="仿宋_GB2312" w:hAnsi="仿宋_GB2312" w:eastAsia="仿宋_GB2312" w:cs="仿宋_GB2312"/>
          <w:sz w:val="21"/>
          <w:szCs w:val="22"/>
        </w:rPr>
      </w:pPr>
      <w:r>
        <w:rPr>
          <w:rFonts w:hint="eastAsia" w:ascii="仿宋_GB2312" w:hAnsi="仿宋_GB2312" w:eastAsia="仿宋_GB2312" w:cs="仿宋_GB2312"/>
          <w:b w:val="0"/>
          <w:bCs w:val="0"/>
          <w:sz w:val="28"/>
          <w:szCs w:val="28"/>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592"/>
        <w:gridCol w:w="1614"/>
        <w:gridCol w:w="1808"/>
        <w:gridCol w:w="3775"/>
        <w:gridCol w:w="1224"/>
        <w:gridCol w:w="1199"/>
        <w:gridCol w:w="1886"/>
        <w:gridCol w:w="872"/>
      </w:tblGrid>
      <w:tr>
        <w:tblPrEx>
          <w:shd w:val="clear" w:color="auto" w:fill="auto"/>
          <w:tblCellMar>
            <w:top w:w="0" w:type="dxa"/>
            <w:left w:w="0" w:type="dxa"/>
            <w:bottom w:w="0" w:type="dxa"/>
            <w:right w:w="0" w:type="dxa"/>
          </w:tblCellMar>
        </w:tblPrEx>
        <w:trPr>
          <w:trHeight w:val="851" w:hRule="atLeast"/>
          <w:tblHeader/>
          <w:jc w:val="center"/>
        </w:trPr>
        <w:tc>
          <w:tcPr>
            <w:tcW w:w="3206" w:type="dxa"/>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8" w:type="dxa"/>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数量（亩）</w:t>
            </w:r>
          </w:p>
        </w:tc>
        <w:tc>
          <w:tcPr>
            <w:tcW w:w="122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9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886"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72"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480" w:hRule="atLeast"/>
          <w:jc w:val="center"/>
        </w:trPr>
        <w:tc>
          <w:tcPr>
            <w:tcW w:w="10013" w:type="dxa"/>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188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7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9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租用</w:t>
            </w: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山地</w:t>
            </w:r>
          </w:p>
        </w:tc>
        <w:tc>
          <w:tcPr>
            <w:tcW w:w="180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9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耕地</w:t>
            </w:r>
          </w:p>
        </w:tc>
        <w:tc>
          <w:tcPr>
            <w:tcW w:w="180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2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7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jc w:val="center"/>
        </w:trPr>
        <w:tc>
          <w:tcPr>
            <w:tcW w:w="159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加工厂地</w:t>
            </w:r>
          </w:p>
        </w:tc>
        <w:tc>
          <w:tcPr>
            <w:tcW w:w="180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2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7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jc w:val="center"/>
        </w:trPr>
        <w:tc>
          <w:tcPr>
            <w:tcW w:w="159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2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7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480"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转包</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入股</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转让</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互换</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970" w:type="dxa"/>
            <w:gridSpan w:val="8"/>
            <w:tcBorders>
              <w:top w:val="single" w:color="auto" w:sz="4" w:space="0"/>
              <w:left w:val="nil"/>
              <w:bottom w:val="nil"/>
              <w:right w:val="nil"/>
            </w:tcBorders>
            <w:shd w:val="clear" w:color="auto" w:fill="auto"/>
            <w:tcMar>
              <w:top w:w="10" w:type="dxa"/>
              <w:left w:w="10" w:type="dxa"/>
              <w:right w:w="10" w:type="dxa"/>
            </w:tcMar>
            <w:vAlign w:val="center"/>
          </w:tcPr>
          <w:p>
            <w:pPr>
              <w:adjustRightInd/>
              <w:snapToGrid/>
              <w:spacing w:line="240" w:lineRule="auto"/>
              <w:ind w:firstLine="0" w:firstLineChars="0"/>
              <w:jc w:val="left"/>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3.产业融合预算明细表</w:t>
      </w:r>
    </w:p>
    <w:p>
      <w:pPr>
        <w:adjustRightInd/>
        <w:snapToGrid/>
        <w:spacing w:line="240" w:lineRule="auto"/>
        <w:ind w:firstLine="0" w:firstLineChars="0"/>
        <w:jc w:val="right"/>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单位：元</w:t>
      </w:r>
    </w:p>
    <w:tbl>
      <w:tblPr>
        <w:tblStyle w:val="14"/>
        <w:tblW w:w="13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682"/>
        <w:gridCol w:w="2132"/>
        <w:gridCol w:w="2115"/>
        <w:gridCol w:w="989"/>
        <w:gridCol w:w="881"/>
        <w:gridCol w:w="1476"/>
        <w:gridCol w:w="1451"/>
        <w:gridCol w:w="220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tblHeader/>
          <w:jc w:val="center"/>
        </w:trPr>
        <w:tc>
          <w:tcPr>
            <w:tcW w:w="3814" w:type="dxa"/>
            <w:gridSpan w:val="2"/>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2115"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870"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1476" w:type="dxa"/>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451" w:type="dxa"/>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204" w:type="dxa"/>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964" w:type="dxa"/>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tblHeader/>
          <w:jc w:val="center"/>
        </w:trPr>
        <w:tc>
          <w:tcPr>
            <w:tcW w:w="3814" w:type="dxa"/>
            <w:gridSpan w:val="2"/>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2115" w:type="dxa"/>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黑体" w:hAnsi="黑体" w:eastAsia="黑体" w:cs="黑体"/>
                <w:b w:val="0"/>
                <w:bCs w:val="0"/>
                <w:sz w:val="20"/>
                <w:szCs w:val="20"/>
              </w:rPr>
            </w:pPr>
            <w:r>
              <w:rPr>
                <w:rFonts w:hint="eastAsia" w:ascii="黑体" w:hAnsi="黑体" w:eastAsia="黑体" w:cs="黑体"/>
                <w:b w:val="0"/>
                <w:bCs w:val="0"/>
                <w:sz w:val="20"/>
                <w:szCs w:val="20"/>
              </w:rPr>
              <w:t>规格</w:t>
            </w: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黑体" w:hAnsi="黑体" w:eastAsia="黑体" w:cs="黑体"/>
                <w:b w:val="0"/>
                <w:bCs w:val="0"/>
                <w:sz w:val="20"/>
                <w:szCs w:val="20"/>
              </w:rPr>
            </w:pPr>
            <w:r>
              <w:rPr>
                <w:rFonts w:hint="eastAsia" w:ascii="黑体" w:hAnsi="黑体" w:eastAsia="黑体" w:cs="黑体"/>
                <w:b w:val="0"/>
                <w:bCs w:val="0"/>
                <w:sz w:val="20"/>
                <w:szCs w:val="20"/>
              </w:rPr>
              <w:t>个数</w:t>
            </w:r>
          </w:p>
        </w:tc>
        <w:tc>
          <w:tcPr>
            <w:tcW w:w="1476" w:type="dxa"/>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1451" w:type="dxa"/>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2204" w:type="dxa"/>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964" w:type="dxa"/>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275" w:type="dxa"/>
            <w:gridSpan w:val="6"/>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bCs/>
                <w:color w:val="000000"/>
                <w:kern w:val="0"/>
                <w:sz w:val="20"/>
                <w:szCs w:val="20"/>
                <w:lang w:bidi="ar"/>
              </w:rPr>
              <w:t>小计</w:t>
            </w:r>
          </w:p>
        </w:tc>
        <w:tc>
          <w:tcPr>
            <w:tcW w:w="1451"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2204"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964"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农产品生产加工</w:t>
            </w:r>
          </w:p>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设备设施</w:t>
            </w:r>
          </w:p>
        </w:tc>
        <w:tc>
          <w:tcPr>
            <w:tcW w:w="2132"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装备（含采收、分拣、物流、制冷、检测等）</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32"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大型成套加工生产线</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32"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其他设备</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产品储藏和</w:t>
            </w:r>
          </w:p>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冷链配送</w:t>
            </w:r>
          </w:p>
        </w:tc>
        <w:tc>
          <w:tcPr>
            <w:tcW w:w="2132"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新建冷库</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32"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冷库设备购置</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814"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流通设施的升级改造</w:t>
            </w:r>
          </w:p>
        </w:tc>
        <w:tc>
          <w:tcPr>
            <w:tcW w:w="2115"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新产业新业态</w:t>
            </w:r>
          </w:p>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设施配套</w:t>
            </w:r>
          </w:p>
        </w:tc>
        <w:tc>
          <w:tcPr>
            <w:tcW w:w="2132"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新建加工、厂房、仓库用房</w:t>
            </w:r>
          </w:p>
        </w:tc>
        <w:tc>
          <w:tcPr>
            <w:tcW w:w="2115"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园区建设</w:t>
            </w:r>
          </w:p>
        </w:tc>
        <w:tc>
          <w:tcPr>
            <w:tcW w:w="2132" w:type="dxa"/>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装修、宣传费用</w:t>
            </w:r>
          </w:p>
        </w:tc>
        <w:tc>
          <w:tcPr>
            <w:tcW w:w="2115"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814" w:type="dxa"/>
            <w:gridSpan w:val="2"/>
            <w:tcBorders>
              <w:bottom w:val="single" w:color="auto" w:sz="4" w:space="0"/>
            </w:tcBorders>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2115"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89"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881"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76"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1451"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2204"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964" w:type="dxa"/>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4.科技研发与信息支撑预算明细表</w:t>
      </w:r>
    </w:p>
    <w:p>
      <w:pPr>
        <w:adjustRightInd/>
        <w:snapToGrid/>
        <w:spacing w:line="240" w:lineRule="auto"/>
        <w:ind w:firstLine="0" w:firstLineChars="0"/>
        <w:jc w:val="righ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单位：元</w:t>
      </w:r>
    </w:p>
    <w:tbl>
      <w:tblPr>
        <w:tblStyle w:val="14"/>
        <w:tblW w:w="13970" w:type="dxa"/>
        <w:jc w:val="center"/>
        <w:tblLayout w:type="fixed"/>
        <w:tblCellMar>
          <w:top w:w="0" w:type="dxa"/>
          <w:left w:w="0" w:type="dxa"/>
          <w:bottom w:w="0" w:type="dxa"/>
          <w:right w:w="0" w:type="dxa"/>
        </w:tblCellMar>
      </w:tblPr>
      <w:tblGrid>
        <w:gridCol w:w="1248"/>
        <w:gridCol w:w="1907"/>
        <w:gridCol w:w="1808"/>
        <w:gridCol w:w="942"/>
        <w:gridCol w:w="942"/>
        <w:gridCol w:w="942"/>
        <w:gridCol w:w="947"/>
        <w:gridCol w:w="1294"/>
        <w:gridCol w:w="1168"/>
        <w:gridCol w:w="1906"/>
        <w:gridCol w:w="866"/>
      </w:tblGrid>
      <w:tr>
        <w:tblPrEx>
          <w:tblCellMar>
            <w:top w:w="0" w:type="dxa"/>
            <w:left w:w="0" w:type="dxa"/>
            <w:bottom w:w="0" w:type="dxa"/>
            <w:right w:w="0" w:type="dxa"/>
          </w:tblCellMar>
        </w:tblPrEx>
        <w:trPr>
          <w:trHeight w:val="397" w:hRule="atLeast"/>
          <w:tblHeader/>
          <w:jc w:val="center"/>
        </w:trPr>
        <w:tc>
          <w:tcPr>
            <w:tcW w:w="3155"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jc w:val="center"/>
        </w:trPr>
        <w:tc>
          <w:tcPr>
            <w:tcW w:w="3155"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天数</w:t>
            </w:r>
          </w:p>
        </w:tc>
        <w:tc>
          <w:tcPr>
            <w:tcW w:w="1294"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20"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240"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设备费</w:t>
            </w: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购置设备</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0"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设备租赁</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40"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试制设备</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材料费</w:t>
            </w:r>
          </w:p>
        </w:tc>
        <w:tc>
          <w:tcPr>
            <w:tcW w:w="1808"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测试化验加工费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燃料动力费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出版/文献/信息传播/知识产权事务费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差旅费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国际合作交流费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培训费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劳务费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专家咨询费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基本建设费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其他费用</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间接费用</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adjustRightInd/>
              <w:snapToGrid/>
              <w:spacing w:line="240" w:lineRule="auto"/>
              <w:ind w:firstLine="0" w:firstLineChars="0"/>
              <w:jc w:val="left"/>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5.农业品牌预算明细表</w:t>
      </w:r>
    </w:p>
    <w:p>
      <w:pPr>
        <w:adjustRightInd/>
        <w:snapToGrid/>
        <w:spacing w:line="240" w:lineRule="auto"/>
        <w:ind w:firstLine="0" w:firstLineChars="0"/>
        <w:jc w:val="righ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单位：元</w:t>
      </w:r>
    </w:p>
    <w:tbl>
      <w:tblPr>
        <w:tblStyle w:val="14"/>
        <w:tblW w:w="13970" w:type="dxa"/>
        <w:tblInd w:w="0" w:type="dxa"/>
        <w:shd w:val="clear" w:color="auto" w:fill="auto"/>
        <w:tblLayout w:type="fixed"/>
        <w:tblCellMar>
          <w:top w:w="0" w:type="dxa"/>
          <w:left w:w="0" w:type="dxa"/>
          <w:bottom w:w="0" w:type="dxa"/>
          <w:right w:w="0" w:type="dxa"/>
        </w:tblCellMar>
      </w:tblPr>
      <w:tblGrid>
        <w:gridCol w:w="1455"/>
        <w:gridCol w:w="751"/>
        <w:gridCol w:w="8"/>
        <w:gridCol w:w="6"/>
        <w:gridCol w:w="1762"/>
        <w:gridCol w:w="1647"/>
        <w:gridCol w:w="2501"/>
        <w:gridCol w:w="1464"/>
        <w:gridCol w:w="1280"/>
        <w:gridCol w:w="2107"/>
        <w:gridCol w:w="989"/>
      </w:tblGrid>
      <w:tr>
        <w:tblPrEx>
          <w:shd w:val="clear" w:color="auto" w:fill="auto"/>
          <w:tblCellMar>
            <w:top w:w="0" w:type="dxa"/>
            <w:left w:w="0" w:type="dxa"/>
            <w:bottom w:w="0" w:type="dxa"/>
            <w:right w:w="0" w:type="dxa"/>
          </w:tblCellMar>
        </w:tblPrEx>
        <w:trPr>
          <w:trHeight w:val="347" w:hRule="atLeast"/>
          <w:tblHeader/>
        </w:trPr>
        <w:tc>
          <w:tcPr>
            <w:tcW w:w="3982" w:type="dxa"/>
            <w:gridSpan w:val="5"/>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647"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32" w:hRule="atLeast"/>
          <w:tblHeader/>
        </w:trPr>
        <w:tc>
          <w:tcPr>
            <w:tcW w:w="3982" w:type="dxa"/>
            <w:gridSpan w:val="5"/>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647"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r>
              <w:rPr>
                <w:rFonts w:hint="eastAsia" w:ascii="黑体" w:hAnsi="黑体" w:eastAsia="黑体" w:cs="黑体"/>
                <w:b w:val="0"/>
                <w:bCs/>
                <w:color w:val="000000"/>
                <w:kern w:val="0"/>
                <w:sz w:val="20"/>
                <w:szCs w:val="20"/>
                <w:lang w:bidi="ar"/>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519" w:hRule="atLeast"/>
        </w:trPr>
        <w:tc>
          <w:tcPr>
            <w:tcW w:w="9594"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405" w:hRule="atLeast"/>
        </w:trPr>
        <w:tc>
          <w:tcPr>
            <w:tcW w:w="3982" w:type="dxa"/>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媒体宣传及品牌推广</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45" w:hRule="atLeast"/>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信息筛选</w:t>
            </w:r>
          </w:p>
        </w:tc>
        <w:tc>
          <w:tcPr>
            <w:tcW w:w="2527"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信息征集</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10" w:hRule="atLeast"/>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信息调研</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85" w:hRule="atLeast"/>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1"/>
                <w:szCs w:val="22"/>
              </w:rPr>
              <w:t>信息评选</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活动设计</w:t>
            </w:r>
          </w:p>
        </w:tc>
        <w:tc>
          <w:tcPr>
            <w:tcW w:w="2527"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79"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媒体投放</w:t>
            </w: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平面</w:t>
            </w:r>
          </w:p>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媒体</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报纸</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杂志</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期刊</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广播</w:t>
            </w:r>
          </w:p>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电台</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中央广播电台</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省级广播电台</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地市级广播电台</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电视台</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中央电视台</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省级电视台</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地级市电视台</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多媒体</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交互式网络电视(IPTV)</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车载移动电视</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楼宇电视</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新媒体</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网站</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APP</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微信公众号</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2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微博公众号</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4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户外</w:t>
            </w:r>
          </w:p>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广告</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广告牌</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电子大屏</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55"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内容制作</w:t>
            </w: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图解产品</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宣传标识</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52"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图文</w:t>
            </w:r>
          </w:p>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稿件</w:t>
            </w:r>
          </w:p>
        </w:tc>
        <w:tc>
          <w:tcPr>
            <w:tcW w:w="1776" w:type="dxa"/>
            <w:gridSpan w:val="3"/>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原创</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2" w:hRule="atLeast"/>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转载</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77"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编辑</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视频</w:t>
            </w: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微视频</w:t>
            </w:r>
          </w:p>
        </w:tc>
        <w:tc>
          <w:tcPr>
            <w:tcW w:w="164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2"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宣传片</w:t>
            </w:r>
          </w:p>
        </w:tc>
        <w:tc>
          <w:tcPr>
            <w:tcW w:w="164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92"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776"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文化产品</w:t>
            </w:r>
          </w:p>
        </w:tc>
        <w:tc>
          <w:tcPr>
            <w:tcW w:w="164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94"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1"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H5</w:t>
            </w:r>
          </w:p>
        </w:tc>
        <w:tc>
          <w:tcPr>
            <w:tcW w:w="1776" w:type="dxa"/>
            <w:gridSpan w:val="3"/>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推广型H5</w:t>
            </w:r>
          </w:p>
        </w:tc>
        <w:tc>
          <w:tcPr>
            <w:tcW w:w="164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65"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现场物料</w:t>
            </w: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背景幕布</w:t>
            </w:r>
          </w:p>
        </w:tc>
        <w:tc>
          <w:tcPr>
            <w:tcW w:w="1647"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喷绘桁架</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5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宣传海报/宣传画册</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7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易拉宝</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9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X展架</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指示牌</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7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道旗</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横幅</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4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地毯</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3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桌签</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手提袋</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参会证</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表彰表奖用品</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奖杯</w:t>
            </w:r>
          </w:p>
        </w:tc>
        <w:tc>
          <w:tcPr>
            <w:tcW w:w="1647" w:type="dxa"/>
            <w:vMerge w:val="restar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1"/>
                <w:szCs w:val="22"/>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牌匾</w:t>
            </w:r>
          </w:p>
        </w:tc>
        <w:tc>
          <w:tcPr>
            <w:tcW w:w="1647"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top w:val="single" w:color="auto"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top w:val="single" w:color="auto"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top w:val="single" w:color="auto"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top w:val="single" w:color="auto"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top w:val="single" w:color="auto"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奖状</w:t>
            </w:r>
          </w:p>
        </w:tc>
        <w:tc>
          <w:tcPr>
            <w:tcW w:w="1647"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证书</w:t>
            </w:r>
          </w:p>
        </w:tc>
        <w:tc>
          <w:tcPr>
            <w:tcW w:w="1647"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锦旗</w:t>
            </w:r>
          </w:p>
        </w:tc>
        <w:tc>
          <w:tcPr>
            <w:tcW w:w="1647"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光荣册</w:t>
            </w:r>
          </w:p>
        </w:tc>
        <w:tc>
          <w:tcPr>
            <w:tcW w:w="1647"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68"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奖牌</w:t>
            </w:r>
          </w:p>
        </w:tc>
        <w:tc>
          <w:tcPr>
            <w:tcW w:w="1647"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482"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场地租赁</w:t>
            </w: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w:t>
            </w:r>
          </w:p>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租赁</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空地展位</w:t>
            </w:r>
          </w:p>
        </w:tc>
        <w:tc>
          <w:tcPr>
            <w:tcW w:w="164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92"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标准展位</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97"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其它展位</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42"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会议室租赁</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≤50人</w:t>
            </w:r>
          </w:p>
        </w:tc>
        <w:tc>
          <w:tcPr>
            <w:tcW w:w="164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72"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≤100人</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417"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≤200人</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12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≤500人</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87"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展厅</w:t>
            </w:r>
          </w:p>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租赁</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室内展厅</w:t>
            </w:r>
          </w:p>
        </w:tc>
        <w:tc>
          <w:tcPr>
            <w:tcW w:w="164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52"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室外场地</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480" w:hRule="atLeast"/>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展位搭建</w:t>
            </w: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标准展位搭建</w:t>
            </w:r>
          </w:p>
        </w:tc>
        <w:tc>
          <w:tcPr>
            <w:tcW w:w="164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设备租赁</w:t>
            </w: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投影设备</w:t>
            </w:r>
          </w:p>
        </w:tc>
        <w:tc>
          <w:tcPr>
            <w:tcW w:w="1647"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摄影摄像设备</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音响设备</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灯光设备</w:t>
            </w:r>
          </w:p>
        </w:tc>
        <w:tc>
          <w:tcPr>
            <w:tcW w:w="1647"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27"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LED屏</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室内LED屏</w:t>
            </w:r>
          </w:p>
        </w:tc>
        <w:tc>
          <w:tcPr>
            <w:tcW w:w="1647"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12"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室外LED屏</w:t>
            </w:r>
          </w:p>
        </w:tc>
        <w:tc>
          <w:tcPr>
            <w:tcW w:w="1647"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人员劳务</w:t>
            </w: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嘉宾</w:t>
            </w:r>
          </w:p>
        </w:tc>
        <w:tc>
          <w:tcPr>
            <w:tcW w:w="164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27"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工作人员</w:t>
            </w:r>
          </w:p>
        </w:tc>
        <w:tc>
          <w:tcPr>
            <w:tcW w:w="164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专业</w:t>
            </w:r>
          </w:p>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人员</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投影设备操作员</w:t>
            </w:r>
          </w:p>
        </w:tc>
        <w:tc>
          <w:tcPr>
            <w:tcW w:w="164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摄像师</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音响师</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灯光师</w:t>
            </w:r>
          </w:p>
        </w:tc>
        <w:tc>
          <w:tcPr>
            <w:tcW w:w="164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主持人</w:t>
            </w:r>
          </w:p>
        </w:tc>
        <w:tc>
          <w:tcPr>
            <w:tcW w:w="176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一般主持人</w:t>
            </w:r>
          </w:p>
        </w:tc>
        <w:tc>
          <w:tcPr>
            <w:tcW w:w="164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5"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其他保障</w:t>
            </w:r>
          </w:p>
        </w:tc>
        <w:tc>
          <w:tcPr>
            <w:tcW w:w="765" w:type="dxa"/>
            <w:gridSpan w:val="3"/>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技术保障</w:t>
            </w:r>
          </w:p>
        </w:tc>
        <w:tc>
          <w:tcPr>
            <w:tcW w:w="1762"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技术1</w:t>
            </w:r>
          </w:p>
        </w:tc>
        <w:tc>
          <w:tcPr>
            <w:tcW w:w="1647"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65" w:type="dxa"/>
            <w:gridSpan w:val="3"/>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技术2</w:t>
            </w:r>
          </w:p>
        </w:tc>
        <w:tc>
          <w:tcPr>
            <w:tcW w:w="1647"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5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医疗保障</w:t>
            </w: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药物</w:t>
            </w:r>
          </w:p>
        </w:tc>
        <w:tc>
          <w:tcPr>
            <w:tcW w:w="1647"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5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医疗设备</w:t>
            </w:r>
          </w:p>
        </w:tc>
        <w:tc>
          <w:tcPr>
            <w:tcW w:w="1647"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后勤保障</w:t>
            </w: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餐饮</w:t>
            </w:r>
          </w:p>
        </w:tc>
        <w:tc>
          <w:tcPr>
            <w:tcW w:w="1647"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保洁</w:t>
            </w:r>
          </w:p>
        </w:tc>
        <w:tc>
          <w:tcPr>
            <w:tcW w:w="1647"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运输</w:t>
            </w:r>
          </w:p>
        </w:tc>
        <w:tc>
          <w:tcPr>
            <w:tcW w:w="1647"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安全保障</w:t>
            </w: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消防</w:t>
            </w:r>
          </w:p>
        </w:tc>
        <w:tc>
          <w:tcPr>
            <w:tcW w:w="1647"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sz w:val="21"/>
                <w:szCs w:val="22"/>
              </w:rPr>
            </w:pPr>
          </w:p>
        </w:tc>
        <w:tc>
          <w:tcPr>
            <w:tcW w:w="1768"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安检</w:t>
            </w:r>
          </w:p>
        </w:tc>
        <w:tc>
          <w:tcPr>
            <w:tcW w:w="1647"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3982" w:type="dxa"/>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64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6.贷款贴息预算明细表</w:t>
      </w:r>
    </w:p>
    <w:p>
      <w:pPr>
        <w:adjustRightInd/>
        <w:snapToGrid/>
        <w:spacing w:line="240" w:lineRule="auto"/>
        <w:ind w:firstLine="0" w:firstLineChars="0"/>
        <w:jc w:val="righ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单位：元</w:t>
      </w:r>
    </w:p>
    <w:tbl>
      <w:tblPr>
        <w:tblStyle w:val="14"/>
        <w:tblW w:w="13970" w:type="dxa"/>
        <w:tblInd w:w="0" w:type="dxa"/>
        <w:shd w:val="clear" w:color="auto" w:fill="auto"/>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shd w:val="clear" w:color="auto" w:fill="auto"/>
          <w:tblCellMar>
            <w:top w:w="0" w:type="dxa"/>
            <w:left w:w="0" w:type="dxa"/>
            <w:bottom w:w="0" w:type="dxa"/>
            <w:right w:w="0" w:type="dxa"/>
          </w:tblCellMar>
        </w:tblPrEx>
        <w:trPr>
          <w:trHeight w:val="397" w:hRule="atLeast"/>
          <w:tblHead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r>
              <w:rPr>
                <w:rFonts w:hint="eastAsia" w:ascii="黑体" w:hAnsi="黑体" w:eastAsia="黑体" w:cs="黑体"/>
                <w:b/>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80" w:hRule="atLeast"/>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贴息额不超过该企业产业</w:t>
            </w:r>
            <w:r>
              <w:rPr>
                <w:rFonts w:hint="eastAsia" w:ascii="仿宋_GB2312" w:hAnsi="仿宋_GB2312" w:eastAsia="仿宋_GB2312" w:cs="仿宋_GB2312"/>
                <w:color w:val="000000"/>
                <w:kern w:val="0"/>
                <w:sz w:val="20"/>
                <w:szCs w:val="20"/>
                <w:lang w:eastAsia="zh-CN" w:bidi="ar"/>
              </w:rPr>
              <w:t>发展</w:t>
            </w:r>
            <w:r>
              <w:rPr>
                <w:rFonts w:hint="eastAsia" w:ascii="仿宋_GB2312" w:hAnsi="仿宋_GB2312" w:eastAsia="仿宋_GB2312" w:cs="仿宋_GB2312"/>
                <w:color w:val="000000"/>
                <w:kern w:val="0"/>
                <w:sz w:val="20"/>
                <w:szCs w:val="20"/>
                <w:lang w:bidi="ar"/>
              </w:rPr>
              <w:t>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方正小标宋简体" w:hAnsi="方正小标宋简体" w:eastAsia="方正小标宋简体" w:cs="方正小标宋简体"/>
          <w:b w:val="0"/>
          <w:bCs w:val="0"/>
          <w:sz w:val="32"/>
          <w:szCs w:val="24"/>
        </w:rPr>
      </w:pPr>
      <w:r>
        <w:rPr>
          <w:rFonts w:hint="eastAsia" w:ascii="方正小标宋简体" w:hAnsi="方正小标宋简体" w:eastAsia="方正小标宋简体" w:cs="方正小标宋简体"/>
          <w:b w:val="0"/>
          <w:bCs w:val="0"/>
          <w:sz w:val="32"/>
          <w:szCs w:val="24"/>
        </w:rPr>
        <w:t>7.其他预算明细表</w:t>
      </w:r>
    </w:p>
    <w:p>
      <w:pPr>
        <w:adjustRightInd/>
        <w:snapToGrid/>
        <w:spacing w:line="240" w:lineRule="auto"/>
        <w:ind w:firstLine="0" w:firstLineChars="0"/>
        <w:jc w:val="righ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单位：元</w:t>
      </w:r>
    </w:p>
    <w:tbl>
      <w:tblPr>
        <w:tblStyle w:val="14"/>
        <w:tblW w:w="13970" w:type="dxa"/>
        <w:jc w:val="center"/>
        <w:tblLayout w:type="fixed"/>
        <w:tblCellMar>
          <w:top w:w="0" w:type="dxa"/>
          <w:left w:w="0" w:type="dxa"/>
          <w:bottom w:w="0" w:type="dxa"/>
          <w:right w:w="0" w:type="dxa"/>
        </w:tblCellMar>
      </w:tblPr>
      <w:tblGrid>
        <w:gridCol w:w="1568"/>
        <w:gridCol w:w="1613"/>
        <w:gridCol w:w="1809"/>
        <w:gridCol w:w="1258"/>
        <w:gridCol w:w="1258"/>
        <w:gridCol w:w="1261"/>
        <w:gridCol w:w="1230"/>
        <w:gridCol w:w="1199"/>
        <w:gridCol w:w="1887"/>
        <w:gridCol w:w="887"/>
      </w:tblGrid>
      <w:tr>
        <w:tblPrEx>
          <w:tblCellMar>
            <w:top w:w="0" w:type="dxa"/>
            <w:left w:w="0" w:type="dxa"/>
            <w:bottom w:w="0" w:type="dxa"/>
            <w:right w:w="0" w:type="dxa"/>
          </w:tblCellMar>
        </w:tblPrEx>
        <w:trPr>
          <w:trHeight w:val="337" w:hRule="atLeast"/>
          <w:tblHeader/>
          <w:jc w:val="center"/>
        </w:trPr>
        <w:tc>
          <w:tcPr>
            <w:tcW w:w="3181"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17" w:hRule="atLeast"/>
          <w:tblHeader/>
          <w:jc w:val="center"/>
        </w:trPr>
        <w:tc>
          <w:tcPr>
            <w:tcW w:w="3181"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9"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shd w:val="clear" w:color="auto" w:fill="BEBEBE" w:themeFill="background1" w:themeFillShade="BF"/>
                <w:lang w:bidi="ar"/>
              </w:rPr>
            </w:pPr>
            <w:r>
              <w:rPr>
                <w:rFonts w:hint="eastAsia" w:ascii="黑体" w:hAnsi="黑体" w:eastAsia="黑体" w:cs="黑体"/>
                <w:b w:val="0"/>
                <w:bCs/>
                <w:color w:val="000000"/>
                <w:kern w:val="0"/>
                <w:sz w:val="20"/>
                <w:szCs w:val="20"/>
                <w:lang w:bidi="ar"/>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shd w:val="clear" w:color="auto" w:fill="BEBEBE" w:themeFill="background1" w:themeFillShade="BF"/>
                <w:lang w:bidi="ar"/>
              </w:rPr>
            </w:pPr>
            <w:r>
              <w:rPr>
                <w:rFonts w:hint="eastAsia" w:ascii="黑体" w:hAnsi="黑体" w:eastAsia="黑体" w:cs="黑体"/>
                <w:b w:val="0"/>
                <w:bCs/>
                <w:color w:val="000000"/>
                <w:kern w:val="0"/>
                <w:sz w:val="20"/>
                <w:szCs w:val="20"/>
                <w:lang w:bidi="ar"/>
              </w:rPr>
              <w:t>次数</w:t>
            </w:r>
          </w:p>
        </w:tc>
        <w:tc>
          <w:tcPr>
            <w:tcW w:w="123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33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420" w:hRule="atLeast"/>
          <w:jc w:val="center"/>
        </w:trPr>
        <w:tc>
          <w:tcPr>
            <w:tcW w:w="3181"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相关技术、咨询服务</w:t>
            </w:r>
          </w:p>
        </w:tc>
        <w:tc>
          <w:tcPr>
            <w:tcW w:w="180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7"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技术咨询</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2"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62"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项目管理</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项目论证</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项目考核</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项目审计</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25" w:hRule="atLeast"/>
          <w:jc w:val="center"/>
        </w:trPr>
        <w:tc>
          <w:tcPr>
            <w:tcW w:w="3181"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80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注:涉及多个出差、会议的分别列支。</w:t>
            </w: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22" w:type="dxa"/>
            <w:vAlign w:val="top"/>
          </w:tcPr>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adjustRightInd/>
              <w:snapToGrid/>
              <w:spacing w:line="240" w:lineRule="auto"/>
              <w:ind w:firstLine="0" w:firstLineChars="0"/>
              <w:jc w:val="right"/>
              <w:rPr>
                <w:rFonts w:hint="eastAsia" w:ascii="仿宋_GB2312" w:hAnsi="仿宋_GB2312" w:eastAsia="仿宋_GB2312" w:cs="仿宋_GB2312"/>
                <w:b w:val="0"/>
                <w:bCs w:val="0"/>
                <w:sz w:val="24"/>
                <w:szCs w:val="24"/>
              </w:rPr>
            </w:pPr>
          </w:p>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cs="仿宋_GB2312"/>
                <w:b w:val="0"/>
                <w:bCs w:val="0"/>
                <w:sz w:val="24"/>
                <w:szCs w:val="24"/>
                <w:lang w:eastAsia="zh-CN"/>
              </w:rPr>
              <w:t>负</w:t>
            </w:r>
            <w:r>
              <w:rPr>
                <w:rFonts w:hint="eastAsia" w:ascii="仿宋_GB2312" w:hAnsi="仿宋_GB2312" w:eastAsia="仿宋_GB2312" w:cs="仿宋_GB2312"/>
                <w:b w:val="0"/>
                <w:bCs w:val="0"/>
                <w:sz w:val="24"/>
                <w:szCs w:val="24"/>
              </w:rPr>
              <w:t xml:space="preserve">责人签字: </w:t>
            </w: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w:t>
            </w:r>
          </w:p>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单位公章:              </w:t>
            </w:r>
          </w:p>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年  月  日</w:t>
            </w:r>
            <w:r>
              <w:rPr>
                <w:rFonts w:hint="eastAsia" w:ascii="仿宋_GB2312" w:hAnsi="仿宋_GB2312" w:cs="仿宋_GB2312"/>
                <w:b w:val="0"/>
                <w:bCs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本单位根据</w:t>
            </w:r>
            <w:r>
              <w:rPr>
                <w:rFonts w:hint="eastAsia" w:ascii="仿宋_GB2312" w:hAnsi="仿宋_GB2312" w:eastAsia="仿宋_GB2312" w:cs="仿宋_GB2312"/>
                <w:b w:val="0"/>
                <w:bCs w:val="0"/>
                <w:sz w:val="24"/>
                <w:szCs w:val="24"/>
                <w:u w:val="single"/>
              </w:rPr>
              <w:t xml:space="preserve">                    </w:t>
            </w:r>
            <w:r>
              <w:rPr>
                <w:rFonts w:hint="eastAsia" w:ascii="仿宋_GB2312" w:hAnsi="仿宋_GB2312" w:eastAsia="仿宋_GB2312" w:cs="仿宋_GB2312"/>
                <w:b w:val="0"/>
                <w:bCs w:val="0"/>
                <w:sz w:val="24"/>
                <w:szCs w:val="24"/>
              </w:rPr>
              <w:t>项目立项指南的要求，自愿提交项目（课题）申请书，在此郑重承诺：按照前述项目（课题）批复预算经费的</w:t>
            </w:r>
            <w:r>
              <w:rPr>
                <w:rFonts w:hint="eastAsia" w:ascii="仿宋_GB2312" w:hAnsi="仿宋_GB2312" w:eastAsia="仿宋_GB2312" w:cs="仿宋_GB2312"/>
                <w:b w:val="0"/>
                <w:bCs w:val="0"/>
                <w:sz w:val="24"/>
                <w:szCs w:val="24"/>
                <w:u w:val="single"/>
              </w:rPr>
              <w:t xml:space="preserve">     </w:t>
            </w:r>
            <w:r>
              <w:rPr>
                <w:rFonts w:hint="eastAsia" w:ascii="仿宋_GB2312" w:hAnsi="仿宋_GB2312" w:eastAsia="仿宋_GB2312" w:cs="仿宋_GB2312"/>
                <w:b w:val="0"/>
                <w:bCs w:val="0"/>
                <w:sz w:val="24"/>
                <w:szCs w:val="24"/>
              </w:rPr>
              <w:t>%（人民币</w:t>
            </w:r>
            <w:r>
              <w:rPr>
                <w:rFonts w:hint="eastAsia" w:ascii="仿宋_GB2312" w:hAnsi="仿宋_GB2312" w:eastAsia="仿宋_GB2312" w:cs="仿宋_GB2312"/>
                <w:b w:val="0"/>
                <w:bCs w:val="0"/>
                <w:sz w:val="24"/>
                <w:szCs w:val="24"/>
                <w:u w:val="single"/>
              </w:rPr>
              <w:t xml:space="preserve">        </w:t>
            </w:r>
            <w:r>
              <w:rPr>
                <w:rFonts w:hint="eastAsia" w:ascii="仿宋_GB2312" w:hAnsi="仿宋_GB2312" w:eastAsia="仿宋_GB2312" w:cs="仿宋_GB2312"/>
                <w:b w:val="0"/>
                <w:bCs w:val="0"/>
                <w:sz w:val="24"/>
                <w:szCs w:val="24"/>
              </w:rPr>
              <w:t>万元）进行自筹配套。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如有违反，本单位愿接受广东省农业农村厅做出的各项处理决定，包括但不限于停拨或核减资金，追回</w:t>
            </w:r>
            <w:r>
              <w:rPr>
                <w:rFonts w:hint="eastAsia" w:ascii="仿宋_GB2312" w:hAnsi="仿宋_GB2312" w:eastAsia="仿宋_GB2312" w:cs="仿宋_GB2312"/>
                <w:b w:val="0"/>
                <w:bCs w:val="0"/>
                <w:sz w:val="24"/>
                <w:szCs w:val="24"/>
                <w:lang w:eastAsia="zh-Hans"/>
              </w:rPr>
              <w:t>项目</w:t>
            </w:r>
            <w:r>
              <w:rPr>
                <w:rFonts w:hint="eastAsia" w:ascii="仿宋_GB2312" w:hAnsi="仿宋_GB2312" w:eastAsia="仿宋_GB2312" w:cs="仿宋_GB2312"/>
                <w:b w:val="0"/>
                <w:bCs w:val="0"/>
                <w:sz w:val="24"/>
                <w:szCs w:val="24"/>
              </w:rPr>
              <w:t>资金，取消一定期限</w:t>
            </w:r>
            <w:r>
              <w:rPr>
                <w:rFonts w:hint="eastAsia" w:ascii="仿宋_GB2312" w:hAnsi="仿宋_GB2312" w:eastAsia="仿宋_GB2312" w:cs="仿宋_GB2312"/>
                <w:b w:val="0"/>
                <w:bCs w:val="0"/>
                <w:sz w:val="24"/>
                <w:szCs w:val="24"/>
                <w:lang w:eastAsia="zh-Hans"/>
              </w:rPr>
              <w:t>广</w:t>
            </w:r>
            <w:r>
              <w:rPr>
                <w:rFonts w:hint="eastAsia" w:ascii="仿宋_GB2312" w:hAnsi="仿宋_GB2312" w:eastAsia="仿宋_GB2312" w:cs="仿宋_GB2312"/>
                <w:b w:val="0"/>
                <w:bCs w:val="0"/>
                <w:snapToGrid w:val="0"/>
                <w:spacing w:val="-6"/>
                <w:kern w:val="0"/>
                <w:sz w:val="24"/>
                <w:szCs w:val="24"/>
                <w:lang w:eastAsia="zh-Hans"/>
              </w:rPr>
              <w:t>东省农业农村厅</w:t>
            </w:r>
            <w:r>
              <w:rPr>
                <w:rFonts w:hint="eastAsia" w:ascii="仿宋_GB2312" w:hAnsi="仿宋_GB2312" w:eastAsia="仿宋_GB2312" w:cs="仿宋_GB2312"/>
                <w:b w:val="0"/>
                <w:bCs w:val="0"/>
                <w:snapToGrid w:val="0"/>
                <w:spacing w:val="-6"/>
                <w:kern w:val="0"/>
                <w:sz w:val="24"/>
                <w:szCs w:val="24"/>
              </w:rPr>
              <w:t>项目申报资格，记入</w:t>
            </w:r>
            <w:r>
              <w:rPr>
                <w:rFonts w:hint="eastAsia" w:ascii="仿宋_GB2312" w:hAnsi="仿宋_GB2312" w:eastAsia="仿宋_GB2312" w:cs="仿宋_GB2312"/>
                <w:b w:val="0"/>
                <w:bCs w:val="0"/>
                <w:snapToGrid w:val="0"/>
                <w:spacing w:val="-6"/>
                <w:kern w:val="0"/>
                <w:sz w:val="24"/>
                <w:szCs w:val="24"/>
                <w:lang w:eastAsia="zh-Hans"/>
              </w:rPr>
              <w:t>广东省农业农村厅</w:t>
            </w:r>
            <w:r>
              <w:rPr>
                <w:rFonts w:hint="eastAsia" w:ascii="仿宋_GB2312" w:hAnsi="仿宋_GB2312" w:eastAsia="仿宋_GB2312" w:cs="仿宋_GB2312"/>
                <w:b w:val="0"/>
                <w:bCs w:val="0"/>
                <w:snapToGrid w:val="0"/>
                <w:spacing w:val="-6"/>
                <w:kern w:val="0"/>
                <w:sz w:val="24"/>
                <w:szCs w:val="24"/>
              </w:rPr>
              <w:t>诚信异常名录等。</w:t>
            </w:r>
          </w:p>
          <w:p>
            <w:pPr>
              <w:pStyle w:val="2"/>
              <w:rPr>
                <w:rFonts w:hint="eastAsia" w:ascii="仿宋_GB2312" w:hAnsi="仿宋_GB2312" w:eastAsia="仿宋_GB2312" w:cs="仿宋_GB2312"/>
                <w:b w:val="0"/>
                <w:bCs w:val="0"/>
                <w:sz w:val="24"/>
                <w:szCs w:val="24"/>
              </w:rPr>
            </w:pPr>
          </w:p>
          <w:p>
            <w:pPr>
              <w:pStyle w:val="2"/>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290" w:firstLineChars="1371"/>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出资单位（盖章）：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290" w:firstLineChars="1371"/>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法定代表人（签字）：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w:t>
            </w: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年  月  日</w:t>
            </w:r>
          </w:p>
        </w:tc>
      </w:tr>
    </w:tbl>
    <w:p>
      <w:pPr>
        <w:adjustRightInd w:val="0"/>
        <w:snapToGrid/>
        <w:spacing w:line="360" w:lineRule="auto"/>
        <w:ind w:firstLine="560" w:firstLineChars="200"/>
        <w:rPr>
          <w:rFonts w:hint="eastAsia" w:ascii="黑体" w:hAnsi="黑体" w:eastAsia="黑体" w:cs="黑体"/>
          <w:bCs/>
          <w:kern w:val="0"/>
          <w:sz w:val="28"/>
          <w:szCs w:val="28"/>
        </w:rPr>
      </w:pPr>
      <w:r>
        <w:rPr>
          <w:rFonts w:hint="eastAsia" w:ascii="黑体" w:hAnsi="黑体" w:eastAsia="黑体" w:cs="黑体"/>
          <w:bCs/>
          <w:kern w:val="0"/>
          <w:sz w:val="28"/>
          <w:szCs w:val="28"/>
        </w:rPr>
        <w:br w:type="page"/>
      </w: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adjustRightInd w:val="0"/>
              <w:snapToGrid/>
              <w:spacing w:line="36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val="0"/>
              <w:snapToGrid/>
              <w:spacing w:line="36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val="0"/>
              <w:snapToGrid/>
              <w:spacing w:line="36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ascii="Times New Roman" w:hAnsi="Times New Roman" w:eastAsia="宋体" w:cs="Times New Roman"/>
                <w:b/>
                <w:bCs/>
                <w:sz w:val="21"/>
                <w:szCs w:val="22"/>
              </w:rPr>
            </w:pPr>
          </w:p>
          <w:p>
            <w:pPr>
              <w:adjustRightInd/>
              <w:snapToGrid/>
              <w:spacing w:line="240" w:lineRule="auto"/>
              <w:ind w:firstLine="0" w:firstLineChars="0"/>
              <w:rPr>
                <w:rFonts w:hint="eastAsia" w:ascii="仿宋_GB2312" w:hAnsi="仿宋_GB2312" w:eastAsia="仿宋_GB2312" w:cs="仿宋_GB2312"/>
                <w:b/>
                <w:bCs/>
                <w:sz w:val="21"/>
                <w:szCs w:val="22"/>
              </w:rPr>
            </w:pPr>
          </w:p>
          <w:p>
            <w:pPr>
              <w:adjustRightInd/>
              <w:snapToGrid/>
              <w:spacing w:line="240" w:lineRule="auto"/>
              <w:ind w:firstLine="0" w:firstLineChars="0"/>
              <w:rPr>
                <w:rFonts w:hint="eastAsia" w:ascii="仿宋_GB2312" w:hAnsi="仿宋_GB2312" w:eastAsia="仿宋_GB2312" w:cs="仿宋_GB2312"/>
                <w:b w:val="0"/>
                <w:bCs w:val="0"/>
                <w:sz w:val="24"/>
                <w:szCs w:val="24"/>
              </w:rPr>
            </w:pPr>
          </w:p>
          <w:p>
            <w:pPr>
              <w:wordWrap w:val="0"/>
              <w:adjustRightInd/>
              <w:snapToGrid/>
              <w:spacing w:line="240" w:lineRule="auto"/>
              <w:ind w:firstLine="0" w:firstLineChars="0"/>
              <w:jc w:val="center"/>
              <w:rPr>
                <w:rFonts w:hint="eastAsia" w:ascii="仿宋_GB2312" w:hAnsi="仿宋_GB2312" w:eastAsia="仿宋_GB2312" w:cs="仿宋_GB2312"/>
                <w:b w:val="0"/>
                <w:bCs w:val="0"/>
                <w:sz w:val="24"/>
                <w:szCs w:val="24"/>
              </w:rPr>
            </w:pP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负责人签字:             </w:t>
            </w:r>
          </w:p>
          <w:p>
            <w:pPr>
              <w:wordWrap w:val="0"/>
              <w:adjustRightInd/>
              <w:snapToGrid/>
              <w:spacing w:line="240" w:lineRule="auto"/>
              <w:ind w:firstLine="4320" w:firstLineChars="180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单位公章:               </w:t>
            </w:r>
          </w:p>
          <w:p>
            <w:pPr>
              <w:wordWrap w:val="0"/>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r>
              <w:rPr>
                <w:rFonts w:hint="eastAsia" w:ascii="仿宋_GB2312" w:hAnsi="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 xml:space="preserve">     年  月  日      </w:t>
            </w:r>
          </w:p>
          <w:p>
            <w:pPr>
              <w:adjustRightInd/>
              <w:snapToGrid/>
              <w:spacing w:line="240" w:lineRule="auto"/>
              <w:ind w:firstLine="0" w:firstLineChars="0"/>
              <w:rPr>
                <w:rFonts w:ascii="Times New Roman" w:hAnsi="Times New Roman" w:eastAsia="宋体" w:cs="Times New Roman"/>
                <w:b/>
                <w:bCs/>
                <w:sz w:val="21"/>
                <w:szCs w:val="22"/>
              </w:rPr>
            </w:pPr>
          </w:p>
        </w:tc>
      </w:tr>
    </w:tbl>
    <w:p>
      <w:pPr>
        <w:adjustRightInd w:val="0"/>
        <w:snapToGrid/>
        <w:spacing w:line="360" w:lineRule="auto"/>
        <w:ind w:firstLine="560" w:firstLineChars="200"/>
        <w:rPr>
          <w:rFonts w:ascii="黑体" w:hAnsi="黑体" w:eastAsia="黑体" w:cs="黑体"/>
          <w:bCs/>
          <w:kern w:val="0"/>
          <w:sz w:val="28"/>
          <w:szCs w:val="28"/>
        </w:rPr>
      </w:pPr>
    </w:p>
    <w:p>
      <w:pPr>
        <w:rPr>
          <w:rFonts w:hint="default"/>
          <w:lang w:val="en-US" w:eastAsia="zh-CN"/>
        </w:rPr>
      </w:pPr>
    </w:p>
    <w:p>
      <w:pPr>
        <w:ind w:left="0" w:leftChars="0" w:firstLine="0" w:firstLineChars="0"/>
        <w:rPr>
          <w:rFonts w:hint="default"/>
          <w:lang w:val="en-US" w:eastAsia="zh-CN"/>
        </w:rPr>
        <w:sectPr>
          <w:headerReference r:id="rId42" w:type="default"/>
          <w:footerReference r:id="rId43" w:type="default"/>
          <w:pgSz w:w="11906" w:h="16838"/>
          <w:pgMar w:top="1440" w:right="1800" w:bottom="1440" w:left="1800" w:header="851" w:footer="992" w:gutter="0"/>
          <w:cols w:space="425" w:num="1"/>
          <w:docGrid w:type="lines" w:linePitch="312" w:charSpace="0"/>
        </w:sectPr>
      </w:pPr>
    </w:p>
    <w:p>
      <w:pPr>
        <w:pStyle w:val="7"/>
        <w:bidi w:val="0"/>
        <w:rPr>
          <w:rFonts w:hint="default"/>
          <w:lang w:val="en-US" w:eastAsia="zh-CN"/>
        </w:rPr>
      </w:pPr>
      <w:r>
        <w:rPr>
          <w:rFonts w:hint="eastAsia"/>
          <w:lang w:val="en-US" w:eastAsia="zh-CN"/>
        </w:rPr>
        <w:t>附件5-5</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方正小标宋简体" w:hAnsi="方正小标宋简体" w:eastAsia="方正小标宋简体" w:cs="方正小标宋简体"/>
          <w:b w:val="0"/>
          <w:bCs w:val="0"/>
          <w:color w:val="auto"/>
          <w:spacing w:val="-6"/>
          <w:kern w:val="0"/>
          <w:sz w:val="28"/>
          <w:szCs w:val="28"/>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广东省农业农村厅农业科技创新能力条件提升</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（重点实验室）建设工程项目申报书模板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楷体_GB2312" w:hAnsi="楷体_GB2312" w:eastAsia="楷体_GB2312" w:cs="楷体_GB2312"/>
          <w:b/>
          <w:bCs w:val="0"/>
          <w:color w:val="auto"/>
          <w:sz w:val="32"/>
          <w:szCs w:val="32"/>
        </w:rPr>
        <w:sectPr>
          <w:footerReference r:id="rId44"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省级涉农科研机构或高等院校、事业单位以及具有科技优势的企业。</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1、功能定位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项目建设期内，新增省部级及以上课题数量，发表学术论文数量，申请国家发明专利数量，获得省部级科技成果奖项数量、关键技术产业化经济效益等具体目标。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服务平台。包括研究开发成果的转让应用、提供科技咨询、科技信息、为企业解决生产中的技术难题、质量体系建设服务、农机科技专业人才培养等服务。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本次估算范围由建筑工程费、新增设备采购费用、其他费用组成。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、省级财政资金、项目单位自筹资金等</w:t>
      </w:r>
      <w:r>
        <w:rPr>
          <w:rFonts w:hint="eastAsia" w:ascii="仿宋_GB2312" w:hAnsi="仿宋_GB2312" w:eastAsia="仿宋_GB2312" w:cs="仿宋_GB2312"/>
          <w:bCs/>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（八）项目效益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项目经济效益、社会效益和生态效益，重点描述社会公共效益。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黑体" w:eastAsia="黑体" w:cs="Times New Roman"/>
          <w:color w:val="auto"/>
          <w:sz w:val="28"/>
          <w:szCs w:val="28"/>
        </w:rPr>
      </w:pPr>
      <w:r>
        <w:rPr>
          <w:rFonts w:ascii="Times New Roman" w:hAnsi="黑体" w:eastAsia="黑体" w:cs="Times New Roman"/>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楷体_GB2312" w:hAnsi="楷体_GB2312" w:eastAsia="楷体_GB2312" w:cs="楷体_GB2312"/>
          <w:b w:val="0"/>
          <w:bCs/>
          <w:color w:val="auto"/>
          <w:sz w:val="28"/>
          <w:szCs w:val="28"/>
        </w:rPr>
      </w:pPr>
      <w:r>
        <w:rPr>
          <w:rFonts w:hint="eastAsia" w:ascii="楷体_GB2312" w:hAnsi="楷体_GB2312" w:eastAsia="楷体_GB2312" w:cs="楷体_GB2312"/>
          <w:b w:val="0"/>
          <w:bCs/>
          <w:color w:val="auto"/>
          <w:sz w:val="28"/>
          <w:szCs w:val="28"/>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5</w:t>
      </w:r>
      <w:r>
        <w:rPr>
          <w:rFonts w:hint="eastAsia" w:ascii="仿宋_GB2312" w:hAnsi="仿宋_GB2312" w:eastAsia="仿宋_GB2312" w:cs="仿宋_GB2312"/>
          <w:b/>
          <w:color w:val="auto"/>
          <w:sz w:val="28"/>
          <w:szCs w:val="28"/>
        </w:rPr>
        <w:t>、影响因素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w:t>
      </w:r>
      <w:r>
        <w:rPr>
          <w:rFonts w:hint="eastAsia" w:ascii="Times New Roman" w:hAnsi="Times New Roman" w:eastAsia="楷体_GB2312" w:cs="Times New Roman"/>
          <w:color w:val="auto"/>
          <w:sz w:val="28"/>
          <w:szCs w:val="28"/>
          <w:lang w:eastAsia="zh-CN"/>
        </w:rPr>
        <w:t>五</w:t>
      </w:r>
      <w:r>
        <w:rPr>
          <w:rFonts w:ascii="Times New Roman" w:hAnsi="Times New Roman" w:eastAsia="楷体_GB2312" w:cs="Times New Roman"/>
          <w:color w:val="auto"/>
          <w:sz w:val="28"/>
          <w:szCs w:val="28"/>
        </w:rPr>
        <w:t>）项目建设必要性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Times New Roman" w:hAnsi="黑体" w:eastAsia="黑体" w:cs="Times New Roman"/>
          <w:color w:val="auto"/>
          <w:sz w:val="28"/>
          <w:szCs w:val="28"/>
        </w:rPr>
      </w:pPr>
      <w:r>
        <w:rPr>
          <w:rFonts w:hint="eastAsia" w:ascii="Times New Roman" w:hAnsi="黑体" w:eastAsia="黑体" w:cs="Times New Roman"/>
          <w:color w:val="auto"/>
          <w:sz w:val="28"/>
          <w:szCs w:val="28"/>
          <w:lang w:val="en-US" w:eastAsia="zh-CN"/>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w:t>
      </w:r>
      <w:r>
        <w:rPr>
          <w:rFonts w:hint="eastAsia" w:ascii="Times New Roman" w:hAnsi="Times New Roman" w:eastAsia="楷体_GB2312" w:cs="Times New Roman"/>
          <w:color w:val="auto"/>
          <w:sz w:val="28"/>
          <w:szCs w:val="28"/>
          <w:lang w:val="en-US" w:eastAsia="zh-CN"/>
        </w:rPr>
        <w:t>主要研究内容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w:t>
      </w:r>
      <w:r>
        <w:rPr>
          <w:rFonts w:hint="eastAsia" w:ascii="仿宋_GB2312" w:hAnsi="仿宋_GB2312" w:eastAsia="仿宋_GB2312" w:cs="仿宋_GB2312"/>
          <w:color w:val="auto"/>
          <w:sz w:val="28"/>
          <w:szCs w:val="28"/>
          <w:lang w:eastAsia="zh-CN"/>
        </w:rPr>
        <w:t>对共性</w:t>
      </w:r>
      <w:r>
        <w:rPr>
          <w:rFonts w:hint="eastAsia" w:ascii="仿宋_GB2312" w:hAnsi="仿宋_GB2312" w:eastAsia="仿宋_GB2312" w:cs="仿宋_GB2312"/>
          <w:color w:val="auto"/>
          <w:sz w:val="28"/>
          <w:szCs w:val="28"/>
          <w:lang w:val="en-US" w:eastAsia="zh-CN"/>
        </w:rPr>
        <w:t>关键技术与智能装备研发</w:t>
      </w:r>
      <w:r>
        <w:rPr>
          <w:rFonts w:hint="eastAsia" w:ascii="仿宋_GB2312" w:hAnsi="仿宋_GB2312" w:eastAsia="仿宋_GB2312" w:cs="仿宋_GB2312"/>
          <w:color w:val="auto"/>
          <w:sz w:val="28"/>
          <w:szCs w:val="28"/>
          <w:lang w:eastAsia="zh-CN"/>
        </w:rPr>
        <w:t>方向进行详细说明。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试验</w:t>
      </w:r>
      <w:r>
        <w:rPr>
          <w:rFonts w:hint="eastAsia" w:ascii="仿宋_GB2312" w:hAnsi="仿宋_GB2312" w:eastAsia="仿宋_GB2312" w:cs="仿宋_GB2312"/>
          <w:color w:val="auto"/>
          <w:sz w:val="28"/>
          <w:szCs w:val="28"/>
        </w:rPr>
        <w:t>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w:t>
      </w:r>
      <w:r>
        <w:rPr>
          <w:rFonts w:hint="eastAsia" w:ascii="仿宋_GB2312" w:hAnsi="仿宋_GB2312" w:eastAsia="仿宋_GB2312" w:cs="仿宋_GB2312"/>
          <w:color w:val="auto"/>
          <w:sz w:val="28"/>
          <w:szCs w:val="28"/>
          <w:lang w:eastAsia="zh-CN"/>
        </w:rPr>
        <w:t>实验室</w:t>
      </w:r>
      <w:r>
        <w:rPr>
          <w:rFonts w:hint="eastAsia" w:ascii="仿宋_GB2312" w:hAnsi="仿宋_GB2312" w:eastAsia="仿宋_GB2312" w:cs="仿宋_GB2312"/>
          <w:color w:val="auto"/>
          <w:sz w:val="28"/>
          <w:szCs w:val="28"/>
        </w:rPr>
        <w:t>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黑体" w:hAnsi="黑体" w:eastAsia="黑体" w:cs="黑体"/>
          <w:color w:val="auto"/>
          <w:sz w:val="28"/>
          <w:szCs w:val="28"/>
          <w:lang w:eastAsia="zh-CN"/>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1、废气、粉(烟)尘的防治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2、废水处理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3、噪声控制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4、固体废弃物的综合利用及处置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5、农业面源污染的控制与防治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6、其他污染的控制及防治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7、绿化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8、预期效果分析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default" w:ascii="Times New Roman" w:hAnsi="Times New Roman" w:eastAsia="楷体_GB2312" w:cs="Times New Roman"/>
          <w:color w:val="auto"/>
          <w:sz w:val="28"/>
          <w:szCs w:val="28"/>
        </w:rPr>
      </w:pPr>
      <w:bookmarkStart w:id="155" w:name="_Toc21713"/>
      <w:r>
        <w:rPr>
          <w:rFonts w:hint="default" w:ascii="Times New Roman" w:hAnsi="Times New Roman" w:eastAsia="楷体_GB2312" w:cs="Times New Roman"/>
          <w:color w:val="auto"/>
          <w:sz w:val="28"/>
          <w:szCs w:val="28"/>
        </w:rPr>
        <w:t>（一）投资估算</w:t>
      </w:r>
      <w:bookmarkEnd w:id="155"/>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总投资</w:t>
      </w:r>
      <w:r>
        <w:rPr>
          <w:rFonts w:hint="eastAsia" w:ascii="仿宋_GB2312" w:hAnsi="仿宋_GB2312" w:eastAsia="仿宋_GB2312" w:cs="仿宋_GB2312"/>
          <w:color w:val="auto"/>
          <w:sz w:val="28"/>
          <w:szCs w:val="28"/>
          <w:lang w:val="en-US" w:eastAsia="zh-CN"/>
        </w:rPr>
        <w:t>包含建筑工程费、仪器设备费用、其他费用</w:t>
      </w:r>
      <w:r>
        <w:rPr>
          <w:rFonts w:hint="default"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1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①</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《农业建设项目投资估算内容和方法》(NY/ T 1716-2009)</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2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②</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3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③</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default"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工程总投资</w:t>
      </w:r>
      <w:r>
        <w:rPr>
          <w:rFonts w:hint="eastAsia" w:ascii="仿宋_GB2312" w:hAnsi="仿宋_GB2312" w:eastAsia="仿宋_GB2312" w:cs="仿宋_GB2312"/>
          <w:color w:val="auto"/>
          <w:sz w:val="28"/>
          <w:szCs w:val="28"/>
          <w:lang w:val="en-US" w:eastAsia="zh-CN"/>
        </w:rPr>
        <w:t>包含建筑工程费、仪器设备费用、其他费用。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建筑工程费：土建工程费用、室内装修工程费用、给排水工程费用、消防系统工程费用、弱电工程费用、电气照明工程费用、室外工程费用等；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仪器设备费用：用于组建各功能实验室需采购的大型设备；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其他费用：实验室运行费用：用于实验室基本日常运行维护与人员支出费用；开放基金费用：用于实验室每年计划设置的针对南方丘陵山区智能农业装备方面研究的对外开放基金申报经费支持；</w:t>
      </w:r>
    </w:p>
    <w:p>
      <w:pPr>
        <w:keepNext w:val="0"/>
        <w:keepLines w:val="0"/>
        <w:pageBreakBefore w:val="0"/>
        <w:widowControl w:val="0"/>
        <w:kinsoku/>
        <w:wordWrap/>
        <w:overflowPunct/>
        <w:topLinePunct w:val="0"/>
        <w:autoSpaceDE/>
        <w:autoSpaceDN/>
        <w:bidi w:val="0"/>
        <w:adjustRightInd/>
        <w:snapToGrid w:val="0"/>
        <w:spacing w:line="420" w:lineRule="atLeas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 xml:space="preserve">1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991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32"/>
        <w:gridCol w:w="2827"/>
        <w:gridCol w:w="907"/>
        <w:gridCol w:w="766"/>
        <w:gridCol w:w="1600"/>
        <w:gridCol w:w="1132"/>
        <w:gridCol w:w="971"/>
        <w:gridCol w:w="9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732"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2827"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3273" w:type="dxa"/>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1132"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971"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983" w:type="dxa"/>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732" w:type="dxa"/>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2827" w:type="dxa"/>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单位</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数量</w:t>
            </w: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1132" w:type="dxa"/>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971" w:type="dxa"/>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983" w:type="dxa"/>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建筑工程费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both"/>
              <w:textAlignment w:val="bottom"/>
              <w:rPr>
                <w:rFonts w:hint="eastAsia" w:ascii="仿宋_GB2312" w:hAnsi="仿宋_GB2312" w:eastAsia="仿宋_GB2312" w:cs="仿宋_GB2312"/>
                <w:i w:val="0"/>
                <w:color w:val="auto"/>
                <w:sz w:val="22"/>
                <w:szCs w:val="22"/>
                <w:u w:val="none"/>
                <w:lang w:eastAsia="zh-CN"/>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二</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仪器设备购置安装费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2827" w:type="dxa"/>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开放基金项目支持</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2827" w:type="dxa"/>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98" w:rightChars="0"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基础硬件建设与维护</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2827" w:type="dxa"/>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实验室人员与运行经费</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四</w:t>
            </w:r>
          </w:p>
        </w:tc>
        <w:tc>
          <w:tcPr>
            <w:tcW w:w="282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907"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766"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600"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132"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71"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983" w:type="dxa"/>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lang w:eastAsia="zh-CN"/>
        </w:rPr>
      </w:pPr>
      <w:r>
        <w:rPr>
          <w:rFonts w:hint="eastAsia" w:ascii="楷体_GB2312" w:hAnsi="Times New Roman" w:eastAsia="楷体_GB2312" w:cs="Times New Roman"/>
          <w:color w:val="auto"/>
          <w:sz w:val="28"/>
          <w:szCs w:val="28"/>
        </w:rPr>
        <w:t>（二）</w:t>
      </w:r>
      <w:r>
        <w:rPr>
          <w:rFonts w:hint="eastAsia" w:ascii="楷体_GB2312" w:hAnsi="Times New Roman" w:eastAsia="楷体_GB2312" w:cs="Times New Roman"/>
          <w:color w:val="auto"/>
          <w:sz w:val="28"/>
          <w:szCs w:val="28"/>
          <w:lang w:eastAsia="zh-CN"/>
        </w:rPr>
        <w:t>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、省级财政资金、项目单位自筹资金等</w:t>
      </w:r>
      <w:r>
        <w:rPr>
          <w:rFonts w:hint="eastAsia" w:ascii="仿宋_GB2312" w:hAnsi="仿宋_GB2312" w:eastAsia="仿宋_GB2312" w:cs="仿宋_GB2312"/>
          <w:bCs/>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textAlignment w:val="bottom"/>
        <w:outlineLvl w:val="2"/>
        <w:rPr>
          <w:rFonts w:hint="eastAsia" w:ascii="仿宋_GB2312" w:hAnsi="仿宋_GB2312" w:eastAsia="仿宋_GB2312" w:cs="仿宋_GB2312"/>
          <w:color w:val="auto"/>
          <w:sz w:val="28"/>
          <w:szCs w:val="28"/>
        </w:rPr>
        <w:sectPr>
          <w:footerReference r:id="rId4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default"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（农业科技创新能力条件提升（重点实验室）项目）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eastAsia" w:ascii="楷体" w:hAnsi="楷体" w:eastAsia="宋体" w:cs="楷体"/>
          <w:b/>
          <w:bCs/>
          <w:kern w:val="2"/>
          <w:sz w:val="30"/>
          <w:szCs w:val="30"/>
          <w:lang w:val="en-US" w:eastAsia="zh-CN" w:bidi="ar-SA"/>
        </w:rPr>
      </w:pPr>
    </w:p>
    <w:tbl>
      <w:tblPr>
        <w:tblStyle w:val="14"/>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拟开工时间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建设年限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总投资</w:t>
            </w:r>
            <w:r>
              <w:rPr>
                <w:rFonts w:hint="eastAsia" w:ascii="黑体" w:hAnsi="黑体" w:eastAsia="黑体" w:cs="黑体"/>
                <w:i w:val="0"/>
                <w:color w:val="auto"/>
                <w:kern w:val="0"/>
                <w:sz w:val="18"/>
                <w:szCs w:val="18"/>
                <w:u w:val="none"/>
                <w:lang w:val="en-US" w:eastAsia="zh-CN" w:bidi="ar"/>
              </w:rPr>
              <w:br w:type="textWrapping"/>
            </w:r>
            <w:r>
              <w:rPr>
                <w:rFonts w:hint="eastAsia" w:ascii="黑体" w:hAnsi="黑体" w:eastAsia="黑体" w:cs="黑体"/>
                <w:i w:val="0"/>
                <w:color w:val="auto"/>
                <w:kern w:val="0"/>
                <w:sz w:val="18"/>
                <w:szCs w:val="18"/>
                <w:u w:val="none"/>
                <w:lang w:val="en-US" w:eastAsia="zh-CN" w:bidi="ar"/>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18"/>
                <w:szCs w:val="18"/>
                <w:u w:val="none"/>
              </w:rPr>
            </w:pPr>
            <w:r>
              <w:rPr>
                <w:rFonts w:hint="eastAsia" w:ascii="黑体" w:hAnsi="黑体" w:eastAsia="黑体" w:cs="黑体"/>
                <w:i w:val="0"/>
                <w:color w:val="auto"/>
                <w:kern w:val="0"/>
                <w:sz w:val="18"/>
                <w:szCs w:val="18"/>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r>
              <w:rPr>
                <w:rFonts w:hint="eastAsia" w:ascii="仿宋_GB2312" w:hAnsi="仿宋_GB2312" w:eastAsia="仿宋_GB2312" w:cs="仿宋_GB2312"/>
                <w:i w:val="0"/>
                <w:color w:val="auto"/>
                <w:kern w:val="0"/>
                <w:sz w:val="18"/>
                <w:szCs w:val="18"/>
                <w:u w:val="none"/>
                <w:lang w:val="en-US" w:eastAsia="zh-CN" w:bidi="ar"/>
              </w:rPr>
              <w:t>xx县xx镇xx村</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18"/>
                <w:szCs w:val="18"/>
                <w:u w:val="none"/>
                <w:lang w:val="en-US" w:eastAsia="zh-CN" w:bidi="ar"/>
              </w:rPr>
            </w:pPr>
            <w:r>
              <w:rPr>
                <w:rFonts w:hint="eastAsia" w:ascii="仿宋_GB2312" w:hAnsi="仿宋_GB2312" w:eastAsia="仿宋_GB2312" w:cs="仿宋_GB2312"/>
                <w:i w:val="0"/>
                <w:color w:val="auto"/>
                <w:kern w:val="0"/>
                <w:sz w:val="18"/>
                <w:szCs w:val="18"/>
                <w:u w:val="none"/>
                <w:lang w:val="en-US" w:eastAsia="zh-CN" w:bidi="ar"/>
              </w:rPr>
              <w:t>改建/新建/</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r>
              <w:rPr>
                <w:rFonts w:hint="eastAsia" w:ascii="仿宋_GB2312" w:hAnsi="仿宋_GB2312" w:eastAsia="仿宋_GB2312" w:cs="仿宋_GB2312"/>
                <w:i w:val="0"/>
                <w:color w:val="auto"/>
                <w:kern w:val="0"/>
                <w:sz w:val="18"/>
                <w:szCs w:val="18"/>
                <w:u w:val="none"/>
                <w:lang w:val="en-US" w:eastAsia="zh-CN" w:bidi="ar"/>
              </w:rPr>
              <w:t>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r>
              <w:rPr>
                <w:rFonts w:hint="eastAsia" w:ascii="仿宋_GB2312" w:hAnsi="仿宋_GB2312" w:eastAsia="仿宋_GB2312" w:cs="仿宋_GB2312"/>
                <w:i w:val="0"/>
                <w:color w:val="auto"/>
                <w:kern w:val="0"/>
                <w:sz w:val="18"/>
                <w:szCs w:val="18"/>
                <w:u w:val="none"/>
                <w:lang w:val="en-US" w:eastAsia="zh-CN" w:bidi="ar"/>
              </w:rPr>
              <w:t>xx县xx镇xx村</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18"/>
                <w:szCs w:val="18"/>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仿宋_GB2312" w:hAnsi="楷体" w:eastAsia="仿宋_GB2312"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附件1.</w:t>
      </w:r>
      <w:r>
        <w:rPr>
          <w:rFonts w:hint="eastAsia" w:ascii="仿宋_GB2312" w:hAnsi="Times New Roman" w:eastAsia="仿宋_GB2312" w:cs="Times New Roman"/>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新技术</w:t>
      </w:r>
      <w:r>
        <w:rPr>
          <w:rFonts w:hint="eastAsia" w:ascii="仿宋_GB2312" w:hAnsi="Times New Roman" w:eastAsia="宋体" w:cs="Times New Roman"/>
          <w:b w:val="0"/>
          <w:bCs/>
          <w:color w:val="auto"/>
          <w:sz w:val="28"/>
          <w:szCs w:val="28"/>
          <w:lang w:val="en-US" w:eastAsia="zh-CN"/>
        </w:rPr>
        <w:t>、</w:t>
      </w:r>
      <w:r>
        <w:rPr>
          <w:rFonts w:hint="eastAsia" w:ascii="仿宋_GB2312" w:hAnsi="Times New Roman" w:eastAsia="仿宋_GB2312" w:cs="Times New Roman"/>
          <w:b w:val="0"/>
          <w:bCs/>
          <w:color w:val="auto"/>
          <w:sz w:val="28"/>
          <w:szCs w:val="28"/>
          <w:lang w:val="en-US" w:eastAsia="zh-CN"/>
        </w:rPr>
        <w:t>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4</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rPr>
        <w:t>.</w:t>
      </w:r>
      <w:r>
        <w:rPr>
          <w:rFonts w:hint="eastAsia" w:ascii="仿宋_GB2312" w:hAnsi="Times New Roman" w:eastAsia="仿宋_GB2312" w:cs="Times New Roman"/>
          <w:b w:val="0"/>
          <w:bCs/>
          <w:color w:val="auto"/>
          <w:sz w:val="28"/>
          <w:szCs w:val="28"/>
          <w:lang w:val="en-US" w:eastAsia="zh-CN"/>
        </w:rPr>
        <w:t>工程</w:t>
      </w:r>
      <w:r>
        <w:rPr>
          <w:rFonts w:hint="eastAsia" w:ascii="仿宋_GB2312" w:hAnsi="Times New Roman" w:eastAsia="仿宋_GB2312" w:cs="Times New Roman"/>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rPr>
        <w:t>.其它附图</w:t>
      </w:r>
    </w:p>
    <w:sectPr>
      <w:headerReference r:id="rId46" w:type="default"/>
      <w:footerReference r:id="rId4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auto"/>
    <w:pitch w:val="default"/>
    <w:sig w:usb0="00000000" w:usb1="00000000" w:usb2="00000009" w:usb3="00000000" w:csb0="200001FF" w:csb1="00000000"/>
  </w:font>
  <w:font w:name="华文中宋D...">
    <w:altName w:val="方正书宋_GBK"/>
    <w:panose1 w:val="00000000000000000000"/>
    <w:charset w:val="86"/>
    <w:family w:val="roman"/>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w:altName w:val="DejaVu Sans"/>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420" w:firstLineChars="0"/>
      <w:jc w:val="center"/>
      <w:rPr>
        <w:rFonts w:ascii="Times New Roman" w:hAnsi="Times New Roman" w:eastAsia="宋体" w:cs="Times New Roman"/>
        <w:sz w:val="21"/>
        <w:szCs w:val="21"/>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hint="eastAsia" w:ascii="Times New Roman" w:hAnsi="Times New Roman" w:eastAsia="宋体" w:cs="Times New Roman"/>
        <w:kern w:val="2"/>
        <w:sz w:val="18"/>
        <w:szCs w:val="18"/>
        <w:lang w:val="en-US" w:eastAsia="zh-CN" w:bidi="ar-SA"/>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0" w:firstLineChars="0"/>
      <w:jc w:val="left"/>
      <w:rPr>
        <w:rFonts w:hint="eastAsia" w:ascii="Times New Roman" w:hAnsi="Times New Roman" w:eastAsia="宋体" w:cs="Times New Roman"/>
        <w:kern w:val="2"/>
        <w:sz w:val="18"/>
        <w:szCs w:val="18"/>
        <w:lang w:val="en-US" w:eastAsia="zh-CN" w:bidi="ar-S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hint="eastAsia" w:ascii="Times New Roman" w:hAnsi="Times New Roman" w:eastAsia="宋体" w:cs="Times New Roman"/>
        <w:kern w:val="2"/>
        <w:sz w:val="18"/>
        <w:szCs w:val="18"/>
        <w:lang w:val="en-US" w:eastAsia="zh-CN" w:bidi="ar-SA"/>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18"/>
        <w:lang w:val="en-US" w:eastAsia="zh-CN" w:bidi="ar-S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21"/>
        <w:lang w:val="en-US" w:eastAsia="zh-CN" w:bidi="ar-SA"/>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1"/>
        <w:right w:val="none" w:color="auto" w:sz="0" w:space="0"/>
        <w:between w:val="none" w:color="auto" w:sz="0" w:space="0"/>
      </w:pBdr>
      <w:ind w:firstLine="360"/>
      <w:rPr>
        <w:szCs w:val="21"/>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360" w:firstLineChars="0"/>
      <w:rPr>
        <w:rFonts w:ascii="Times New Roman" w:hAnsi="Times New Roman" w:eastAsia="宋体" w:cs="Times New Roman"/>
        <w:sz w:val="21"/>
        <w:szCs w:val="2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p>
    <w:pPr>
      <w:widowControl w:val="0"/>
      <w:pBdr>
        <w:top w:val="none" w:color="auto" w:sz="0" w:space="0"/>
        <w:left w:val="none" w:color="auto" w:sz="0" w:space="0"/>
        <w:bottom w:val="none" w:color="auto" w:sz="0" w:space="0"/>
        <w:right w:val="none" w:color="auto" w:sz="0" w:space="0"/>
        <w:between w:val="none" w:color="auto" w:sz="0" w:space="0"/>
      </w:pBdr>
      <w:wordWrap/>
      <w:ind w:firstLine="0" w:firstLineChars="0"/>
      <w:jc w:val="both"/>
      <w:outlineLvl w:val="1"/>
      <w:rPr>
        <w:rFonts w:ascii="楷体" w:hAnsi="楷体" w:eastAsia="宋体" w:cs="楷体"/>
        <w:b/>
        <w:bCs/>
        <w:kern w:val="2"/>
        <w:sz w:val="30"/>
        <w:szCs w:val="30"/>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right"/>
      <w:rPr>
        <w:rFonts w:ascii="仿宋_GB2312" w:hAnsi="Times New Roman" w:eastAsia="仿宋_GB2312" w:cs="Times New Roman"/>
        <w:kern w:val="2"/>
        <w:sz w:val="18"/>
        <w:szCs w:val="18"/>
        <w:lang w:val="en-US" w:eastAsia="zh-CN" w:bidi="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DDB429"/>
    <w:rsid w:val="3A772178"/>
    <w:rsid w:val="43B3568D"/>
    <w:rsid w:val="51E06145"/>
    <w:rsid w:val="548A4639"/>
    <w:rsid w:val="55A47B02"/>
    <w:rsid w:val="57B75BAA"/>
    <w:rsid w:val="5F660C86"/>
    <w:rsid w:val="65BB7FB5"/>
    <w:rsid w:val="6FB6B4B2"/>
    <w:rsid w:val="7BED2C9B"/>
    <w:rsid w:val="7ECFD712"/>
    <w:rsid w:val="7EE52A87"/>
    <w:rsid w:val="7F5F649A"/>
    <w:rsid w:val="7F9C56A6"/>
    <w:rsid w:val="B530A1BA"/>
    <w:rsid w:val="CFEF660E"/>
    <w:rsid w:val="D7FE4E76"/>
    <w:rsid w:val="DEBECF52"/>
    <w:rsid w:val="DF6D7C6A"/>
    <w:rsid w:val="EBFD473E"/>
    <w:rsid w:val="F66CF930"/>
    <w:rsid w:val="FBBBEAF8"/>
    <w:rsid w:val="FDE6BEA1"/>
    <w:rsid w:val="FDEB0AB0"/>
    <w:rsid w:val="FF962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Ascii" w:hAnsiTheme="minorAscii" w:cstheme="minorBidi"/>
      <w:kern w:val="2"/>
      <w:sz w:val="32"/>
      <w:szCs w:val="24"/>
      <w:lang w:val="en-US" w:eastAsia="zh-CN" w:bidi="ar-SA"/>
    </w:rPr>
  </w:style>
  <w:style w:type="paragraph" w:styleId="4">
    <w:name w:val="heading 1"/>
    <w:basedOn w:val="1"/>
    <w:next w:val="1"/>
    <w:qFormat/>
    <w:uiPriority w:val="0"/>
    <w:pPr>
      <w:adjustRightInd w:val="0"/>
      <w:snapToGrid w:val="0"/>
      <w:ind w:left="0"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17"/>
    <w:unhideWhenUsed/>
    <w:qFormat/>
    <w:uiPriority w:val="0"/>
    <w:pPr>
      <w:keepNext/>
      <w:keepLines/>
      <w:spacing w:beforeLines="0" w:beforeAutospacing="0" w:afterLines="0" w:afterAutospacing="0" w:line="570" w:lineRule="exact"/>
      <w:ind w:firstLine="0" w:firstLineChars="0"/>
      <w:outlineLvl w:val="3"/>
    </w:pPr>
    <w:rPr>
      <w:rFonts w:ascii="Arial" w:hAnsi="Arial" w:eastAsia="黑体"/>
      <w:sz w:val="32"/>
    </w:rPr>
  </w:style>
  <w:style w:type="paragraph" w:styleId="8">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9">
    <w:name w:val="Normal Indent"/>
    <w:basedOn w:val="1"/>
    <w:qFormat/>
    <w:uiPriority w:val="0"/>
    <w:pPr>
      <w:ind w:firstLine="420"/>
    </w:pPr>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eastAsia="仿宋_GB2312"/>
      <w:sz w:val="3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4 Char"/>
    <w:basedOn w:val="16"/>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widowControl w:val="0"/>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8" Type="http://schemas.openxmlformats.org/officeDocument/2006/relationships/fontTable" Target="fontTable.xml"/><Relationship Id="rId87" Type="http://schemas.openxmlformats.org/officeDocument/2006/relationships/numbering" Target="numbering.xml"/><Relationship Id="rId86" Type="http://schemas.openxmlformats.org/officeDocument/2006/relationships/image" Target="media/image22.wmf"/><Relationship Id="rId85" Type="http://schemas.openxmlformats.org/officeDocument/2006/relationships/oleObject" Target="embeddings/oleObject16.bin"/><Relationship Id="rId84" Type="http://schemas.openxmlformats.org/officeDocument/2006/relationships/oleObject" Target="embeddings/oleObject15.bin"/><Relationship Id="rId83" Type="http://schemas.openxmlformats.org/officeDocument/2006/relationships/image" Target="media/image21.wmf"/><Relationship Id="rId82" Type="http://schemas.openxmlformats.org/officeDocument/2006/relationships/oleObject" Target="embeddings/oleObject14.bin"/><Relationship Id="rId81" Type="http://schemas.openxmlformats.org/officeDocument/2006/relationships/image" Target="media/image20.wmf"/><Relationship Id="rId80" Type="http://schemas.openxmlformats.org/officeDocument/2006/relationships/image" Target="media/image19.wmf"/><Relationship Id="rId8" Type="http://schemas.openxmlformats.org/officeDocument/2006/relationships/footer" Target="footer1.xml"/><Relationship Id="rId79" Type="http://schemas.openxmlformats.org/officeDocument/2006/relationships/image" Target="media/image18.wmf"/><Relationship Id="rId78" Type="http://schemas.openxmlformats.org/officeDocument/2006/relationships/oleObject" Target="embeddings/oleObject13.bin"/><Relationship Id="rId77" Type="http://schemas.openxmlformats.org/officeDocument/2006/relationships/image" Target="media/image17.wmf"/><Relationship Id="rId76" Type="http://schemas.openxmlformats.org/officeDocument/2006/relationships/oleObject" Target="embeddings/oleObject12.bin"/><Relationship Id="rId75" Type="http://schemas.openxmlformats.org/officeDocument/2006/relationships/image" Target="media/image16.wmf"/><Relationship Id="rId74" Type="http://schemas.openxmlformats.org/officeDocument/2006/relationships/image" Target="media/image15.wmf"/><Relationship Id="rId73" Type="http://schemas.openxmlformats.org/officeDocument/2006/relationships/image" Target="media/image14.wmf"/><Relationship Id="rId72" Type="http://schemas.openxmlformats.org/officeDocument/2006/relationships/image" Target="media/image13.wmf"/><Relationship Id="rId71" Type="http://schemas.openxmlformats.org/officeDocument/2006/relationships/image" Target="media/image12.wmf"/><Relationship Id="rId70" Type="http://schemas.openxmlformats.org/officeDocument/2006/relationships/image" Target="media/image11.wmf"/><Relationship Id="rId7" Type="http://schemas.openxmlformats.org/officeDocument/2006/relationships/header" Target="header3.xml"/><Relationship Id="rId69" Type="http://schemas.openxmlformats.org/officeDocument/2006/relationships/oleObject" Target="embeddings/oleObject11.bin"/><Relationship Id="rId68" Type="http://schemas.openxmlformats.org/officeDocument/2006/relationships/image" Target="media/image10.wmf"/><Relationship Id="rId67" Type="http://schemas.openxmlformats.org/officeDocument/2006/relationships/oleObject" Target="embeddings/oleObject10.bin"/><Relationship Id="rId66" Type="http://schemas.openxmlformats.org/officeDocument/2006/relationships/image" Target="media/image9.wmf"/><Relationship Id="rId65" Type="http://schemas.openxmlformats.org/officeDocument/2006/relationships/oleObject" Target="embeddings/oleObject9.bin"/><Relationship Id="rId64" Type="http://schemas.openxmlformats.org/officeDocument/2006/relationships/image" Target="media/image8.wmf"/><Relationship Id="rId63" Type="http://schemas.openxmlformats.org/officeDocument/2006/relationships/oleObject" Target="embeddings/oleObject8.bin"/><Relationship Id="rId62" Type="http://schemas.openxmlformats.org/officeDocument/2006/relationships/image" Target="media/image7.wmf"/><Relationship Id="rId61" Type="http://schemas.openxmlformats.org/officeDocument/2006/relationships/oleObject" Target="embeddings/oleObject7.bin"/><Relationship Id="rId60" Type="http://schemas.openxmlformats.org/officeDocument/2006/relationships/image" Target="media/image6.wmf"/><Relationship Id="rId6" Type="http://schemas.openxmlformats.org/officeDocument/2006/relationships/header" Target="header2.xml"/><Relationship Id="rId59" Type="http://schemas.openxmlformats.org/officeDocument/2006/relationships/oleObject" Target="embeddings/oleObject6.bin"/><Relationship Id="rId58" Type="http://schemas.openxmlformats.org/officeDocument/2006/relationships/image" Target="media/image5.wmf"/><Relationship Id="rId57" Type="http://schemas.openxmlformats.org/officeDocument/2006/relationships/oleObject" Target="embeddings/oleObject5.bin"/><Relationship Id="rId56" Type="http://schemas.openxmlformats.org/officeDocument/2006/relationships/image" Target="media/image4.wmf"/><Relationship Id="rId55" Type="http://schemas.openxmlformats.org/officeDocument/2006/relationships/oleObject" Target="embeddings/oleObject4.bin"/><Relationship Id="rId54" Type="http://schemas.openxmlformats.org/officeDocument/2006/relationships/image" Target="media/image3.wmf"/><Relationship Id="rId53" Type="http://schemas.openxmlformats.org/officeDocument/2006/relationships/oleObject" Target="embeddings/oleObject3.bin"/><Relationship Id="rId52" Type="http://schemas.openxmlformats.org/officeDocument/2006/relationships/image" Target="media/image2.wmf"/><Relationship Id="rId51" Type="http://schemas.openxmlformats.org/officeDocument/2006/relationships/oleObject" Target="embeddings/oleObject2.bin"/><Relationship Id="rId50" Type="http://schemas.openxmlformats.org/officeDocument/2006/relationships/image" Target="media/image1.wmf"/><Relationship Id="rId5" Type="http://schemas.openxmlformats.org/officeDocument/2006/relationships/header" Target="header1.xml"/><Relationship Id="rId49" Type="http://schemas.openxmlformats.org/officeDocument/2006/relationships/oleObject" Target="embeddings/oleObject1.bin"/><Relationship Id="rId48" Type="http://schemas.openxmlformats.org/officeDocument/2006/relationships/theme" Target="theme/theme1.xml"/><Relationship Id="rId47" Type="http://schemas.openxmlformats.org/officeDocument/2006/relationships/footer" Target="footer21.xml"/><Relationship Id="rId46" Type="http://schemas.openxmlformats.org/officeDocument/2006/relationships/header" Target="header22.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footer" Target="footer18.xml"/><Relationship Id="rId42" Type="http://schemas.openxmlformats.org/officeDocument/2006/relationships/header" Target="header21.xml"/><Relationship Id="rId41" Type="http://schemas.openxmlformats.org/officeDocument/2006/relationships/footer" Target="footer17.xml"/><Relationship Id="rId40" Type="http://schemas.openxmlformats.org/officeDocument/2006/relationships/footer" Target="footer16.xml"/><Relationship Id="rId4" Type="http://schemas.openxmlformats.org/officeDocument/2006/relationships/endnotes" Target="endnotes.xml"/><Relationship Id="rId39" Type="http://schemas.openxmlformats.org/officeDocument/2006/relationships/footer" Target="footer15.xml"/><Relationship Id="rId38" Type="http://schemas.openxmlformats.org/officeDocument/2006/relationships/footer" Target="footer14.xml"/><Relationship Id="rId37" Type="http://schemas.openxmlformats.org/officeDocument/2006/relationships/footer" Target="footer13.xml"/><Relationship Id="rId36" Type="http://schemas.openxmlformats.org/officeDocument/2006/relationships/footer" Target="footer12.xml"/><Relationship Id="rId35" Type="http://schemas.openxmlformats.org/officeDocument/2006/relationships/header" Target="header20.xml"/><Relationship Id="rId34" Type="http://schemas.openxmlformats.org/officeDocument/2006/relationships/header" Target="header19.xml"/><Relationship Id="rId33" Type="http://schemas.openxmlformats.org/officeDocument/2006/relationships/header" Target="header18.xml"/><Relationship Id="rId32" Type="http://schemas.openxmlformats.org/officeDocument/2006/relationships/footer" Target="footer11.xml"/><Relationship Id="rId31" Type="http://schemas.openxmlformats.org/officeDocument/2006/relationships/footer" Target="footer10.xml"/><Relationship Id="rId30" Type="http://schemas.openxmlformats.org/officeDocument/2006/relationships/footer" Target="footer9.xml"/><Relationship Id="rId3" Type="http://schemas.openxmlformats.org/officeDocument/2006/relationships/footnotes" Target="footnotes.xml"/><Relationship Id="rId29" Type="http://schemas.openxmlformats.org/officeDocument/2006/relationships/header" Target="header17.xml"/><Relationship Id="rId28" Type="http://schemas.openxmlformats.org/officeDocument/2006/relationships/header" Target="header16.xml"/><Relationship Id="rId27" Type="http://schemas.openxmlformats.org/officeDocument/2006/relationships/footer" Target="footer8.xml"/><Relationship Id="rId26" Type="http://schemas.openxmlformats.org/officeDocument/2006/relationships/header" Target="header15.xml"/><Relationship Id="rId25" Type="http://schemas.openxmlformats.org/officeDocument/2006/relationships/header" Target="header14.xml"/><Relationship Id="rId24" Type="http://schemas.openxmlformats.org/officeDocument/2006/relationships/header" Target="header13.xml"/><Relationship Id="rId23" Type="http://schemas.openxmlformats.org/officeDocument/2006/relationships/footer" Target="footer7.xml"/><Relationship Id="rId22" Type="http://schemas.openxmlformats.org/officeDocument/2006/relationships/footer" Target="footer6.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footer" Target="footer5.xml"/><Relationship Id="rId16" Type="http://schemas.openxmlformats.org/officeDocument/2006/relationships/footer" Target="footer4.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153</Pages>
  <Words>62509</Words>
  <Characters>74515</Characters>
  <Lines>0</Lines>
  <Paragraphs>0</Paragraphs>
  <TotalTime>34</TotalTime>
  <ScaleCrop>false</ScaleCrop>
  <LinksUpToDate>false</LinksUpToDate>
  <CharactersWithSpaces>76313</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2022-02-27T10:25:00Z</dcterms:created>
  <dc:creator>Zheng</dc:creator>
  <cp:lastModifiedBy>kylin</cp:lastModifiedBy>
  <dcterms:modified xsi:type="dcterms:W3CDTF">2024-09-02T14:40:11Z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9B67159C2081E126BFF9CE66C7E05642</vt:lpwstr>
  </property>
  <property fmtid="{D5CDD505-2E9C-101B-9397-08002B2CF9AE}" pid="4" name="showFlag">
    <vt:bool>true</vt:bool>
  </property>
</Properties>
</file>