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项目评审</w:t>
      </w:r>
      <w:r>
        <w:rPr>
          <w:rFonts w:hint="eastAsia" w:ascii="方正小标宋简体" w:hAnsi="方正小标宋简体" w:eastAsia="方正小标宋简体" w:cs="方正小标宋简体"/>
          <w:sz w:val="44"/>
          <w:szCs w:val="44"/>
        </w:rPr>
        <w:t>方案</w:t>
      </w: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pStyle w:val="3"/>
        <w:numPr>
          <w:ilvl w:val="0"/>
          <w:numId w:val="1"/>
        </w:numPr>
        <w:bidi w:val="0"/>
        <w:spacing w:line="60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评审办法</w:t>
      </w:r>
    </w:p>
    <w:p>
      <w:pPr>
        <w:pStyle w:val="10"/>
        <w:widowControl/>
        <w:spacing w:line="600" w:lineRule="exact"/>
        <w:ind w:firstLine="632"/>
        <w:jc w:val="left"/>
        <w:rPr>
          <w:rFonts w:hint="eastAsia" w:ascii="仿宋_GB2312" w:hAnsi="仿宋_GB2312" w:eastAsia="仿宋_GB2312" w:cs="仿宋_GB2312"/>
          <w:sz w:val="32"/>
          <w:szCs w:val="32"/>
        </w:rPr>
      </w:pPr>
      <w:r>
        <w:rPr>
          <w:rFonts w:hint="eastAsia" w:ascii="方正黑体_GBK" w:hAnsi="方正黑体_GBK" w:eastAsia="方正黑体_GBK" w:cs="方正黑体_GBK"/>
          <w:color w:val="000000" w:themeColor="text1"/>
          <w:sz w:val="32"/>
          <w:szCs w:val="32"/>
          <w14:textFill>
            <w14:solidFill>
              <w14:schemeClr w14:val="tx1"/>
            </w14:solidFill>
          </w14:textFill>
        </w:rPr>
        <w:t>本项目采用综合评分法</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是指申请文件满足公告全部实质性要求，且按照评审因素的量化指标评审得分最高的申请单位</w:t>
      </w:r>
      <w:r>
        <w:rPr>
          <w:rFonts w:hint="eastAsia" w:ascii="仿宋_GB2312" w:hAnsi="仿宋_GB2312" w:eastAsia="仿宋_GB2312" w:cs="仿宋_GB2312"/>
          <w:sz w:val="32"/>
          <w:szCs w:val="32"/>
          <w:lang w:eastAsia="zh-CN"/>
        </w:rPr>
        <w:t>，确定为项目承接单位</w:t>
      </w:r>
      <w:r>
        <w:rPr>
          <w:rFonts w:hint="eastAsia" w:ascii="仿宋_GB2312" w:hAnsi="仿宋_GB2312" w:eastAsia="仿宋_GB2312" w:cs="仿宋_GB2312"/>
          <w:sz w:val="32"/>
          <w:szCs w:val="32"/>
        </w:rPr>
        <w:t>候选人的评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方法。</w:t>
      </w:r>
    </w:p>
    <w:p>
      <w:pPr>
        <w:pStyle w:val="3"/>
        <w:bidi w:val="0"/>
        <w:spacing w:line="60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评审步骤</w:t>
      </w:r>
    </w:p>
    <w:p>
      <w:pPr>
        <w:pStyle w:val="3"/>
        <w:bidi w:val="0"/>
        <w:spacing w:line="600" w:lineRule="exact"/>
        <w:ind w:left="0" w:leftChars="0" w:firstLine="642" w:firstLineChars="200"/>
        <w:rPr>
          <w:rFonts w:hint="eastAsia" w:eastAsia="仿宋_GB2312"/>
          <w:lang w:eastAsia="zh-CN"/>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资格性审查：</w:t>
      </w:r>
      <w:r>
        <w:rPr>
          <w:rFonts w:hint="eastAsia" w:ascii="仿宋_GB2312" w:hAnsi="仿宋_GB2312" w:eastAsia="仿宋_GB2312" w:cs="仿宋_GB2312"/>
          <w:kern w:val="0"/>
          <w:sz w:val="32"/>
          <w:szCs w:val="32"/>
        </w:rPr>
        <w:t>评审</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组对申请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提供的申请文件、资质证明材料进行审查，未通过资格性审查的申请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，不进入符合性审查</w:t>
      </w:r>
      <w:r>
        <w:rPr>
          <w:rFonts w:hint="eastAsia" w:ascii="仿宋_GB2312" w:hAnsi="仿宋_GB2312" w:eastAsia="仿宋_GB2312" w:cs="仿宋_GB2312"/>
          <w:kern w:val="0"/>
          <w:sz w:val="32"/>
          <w:szCs w:val="32"/>
          <w:lang w:eastAsia="zh-CN"/>
        </w:rPr>
        <w:t>。</w:t>
      </w:r>
    </w:p>
    <w:p>
      <w:pPr>
        <w:pStyle w:val="6"/>
        <w:keepNext w:val="0"/>
        <w:keepLines w:val="0"/>
        <w:pageBreakBefore w:val="0"/>
        <w:kinsoku/>
        <w:wordWrap/>
        <w:overflowPunct/>
        <w:topLinePunct w:val="0"/>
        <w:autoSpaceDE/>
        <w:autoSpaceDN/>
        <w:bidi w:val="0"/>
        <w:spacing w:before="0" w:beforeLines="0" w:beforeAutospacing="0" w:after="0" w:afterLines="0" w:afterAutospacing="0" w:line="600" w:lineRule="exact"/>
        <w:ind w:firstLine="64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符合性审查：</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组对符合资格的</w:t>
      </w:r>
      <w:r>
        <w:rPr>
          <w:rFonts w:hint="eastAsia" w:ascii="仿宋_GB2312" w:hAnsi="仿宋_GB2312" w:eastAsia="仿宋_GB2312" w:cs="仿宋_GB2312"/>
          <w:sz w:val="32"/>
          <w:szCs w:val="32"/>
          <w:lang w:eastAsia="zh-CN"/>
        </w:rPr>
        <w:t>申请单位提交的</w:t>
      </w:r>
      <w:r>
        <w:rPr>
          <w:rFonts w:hint="eastAsia" w:ascii="仿宋_GB2312" w:hAnsi="仿宋_GB2312" w:eastAsia="仿宋_GB2312" w:cs="仿宋_GB2312"/>
          <w:sz w:val="32"/>
          <w:szCs w:val="32"/>
        </w:rPr>
        <w:t>申请文件中的服务报价、承诺等进行符合性审查，以确定其是否满足公告的实质性要求。未通过符合性审查的</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，不进入</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评审。</w:t>
      </w:r>
    </w:p>
    <w:p>
      <w:pPr>
        <w:pStyle w:val="3"/>
        <w:bidi w:val="0"/>
        <w:spacing w:line="600" w:lineRule="exact"/>
        <w:ind w:left="0" w:leftChars="0" w:firstLine="642"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）综合评审：</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eastAsia="zh-CN"/>
        </w:rPr>
        <w:t>审小组将对符合资质的申请单位按照评审因素的量化指标进行评分。评分内容包括技术商务评价（权重</w:t>
      </w:r>
      <w:r>
        <w:rPr>
          <w:rFonts w:hint="eastAsia" w:ascii="Times New Roman" w:hAnsi="Times New Roman" w:eastAsia="仿宋_GB2312" w:cs="Times New Roman"/>
          <w:sz w:val="32"/>
          <w:szCs w:val="32"/>
          <w:lang w:val="en-US" w:eastAsia="zh-CN"/>
        </w:rPr>
        <w:t>80</w:t>
      </w:r>
      <w:r>
        <w:rPr>
          <w:rFonts w:hint="eastAsia" w:ascii="仿宋_GB2312" w:hAnsi="仿宋_GB2312" w:eastAsia="仿宋_GB2312" w:cs="仿宋_GB2312"/>
          <w:sz w:val="32"/>
          <w:szCs w:val="32"/>
          <w:lang w:val="en-US" w:eastAsia="zh-CN"/>
        </w:rPr>
        <w:t>%）、价格评价（权重</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%），总分</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未选定方案，委托单位不付任何费用。</w:t>
      </w:r>
    </w:p>
    <w:p>
      <w:pPr>
        <w:pStyle w:val="3"/>
        <w:spacing w:before="120" w:line="600" w:lineRule="exact"/>
        <w:ind w:firstLine="642" w:firstLineChars="200"/>
        <w:jc w:val="left"/>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auto"/>
          <w:kern w:val="0"/>
          <w:sz w:val="32"/>
          <w:szCs w:val="32"/>
          <w:lang w:val="en-US" w:eastAsia="zh-CN"/>
        </w:rPr>
        <w:t>（四）确认评审结果：</w:t>
      </w:r>
      <w:r>
        <w:rPr>
          <w:rFonts w:hint="eastAsia" w:ascii="仿宋_GB2312" w:hAnsi="仿宋_GB2312" w:eastAsia="仿宋_GB2312" w:cs="仿宋_GB2312"/>
          <w:sz w:val="32"/>
          <w:szCs w:val="32"/>
          <w:lang w:val="en-US" w:eastAsia="zh-CN"/>
        </w:rPr>
        <w:t>全体评审人员签名确认生效。承接单位拟定后，委托单位将在网站发布公示</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天，如无异议将向选定承接单位告知结果。</w:t>
      </w:r>
    </w:p>
    <w:p>
      <w:pPr>
        <w:pStyle w:val="3"/>
        <w:bidi w:val="0"/>
        <w:rPr>
          <w:rFonts w:hint="eastAsia" w:ascii="宋体" w:hAnsi="宋体"/>
          <w:b/>
          <w:sz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4"/>
        </w:rPr>
        <w:br w:type="page"/>
      </w:r>
    </w:p>
    <w:p>
      <w:pPr>
        <w:spacing w:line="560" w:lineRule="exact"/>
        <w:ind w:firstLine="300" w:firstLineChars="100"/>
        <w:jc w:val="center"/>
        <w:rPr>
          <w:rFonts w:hint="eastAsia" w:ascii="黑体" w:hAnsi="黑体" w:eastAsia="黑体"/>
          <w:b/>
          <w:bCs/>
          <w:color w:val="FF0000"/>
          <w:sz w:val="28"/>
          <w:szCs w:val="28"/>
        </w:rPr>
      </w:pPr>
      <w:r>
        <w:rPr>
          <w:rFonts w:hint="eastAsia" w:ascii="黑体" w:hAnsi="黑体" w:eastAsia="黑体"/>
          <w:sz w:val="30"/>
          <w:szCs w:val="30"/>
          <w:highlight w:val="none"/>
        </w:rPr>
        <w:t>广州市</w:t>
      </w:r>
      <w:r>
        <w:rPr>
          <w:rFonts w:hint="eastAsia" w:ascii="黑体" w:hAnsi="黑体" w:eastAsia="黑体"/>
          <w:sz w:val="30"/>
          <w:szCs w:val="30"/>
          <w:highlight w:val="none"/>
          <w:lang w:eastAsia="zh-CN"/>
        </w:rPr>
        <w:t>农业环境与植物保护总站</w:t>
      </w:r>
      <w:r>
        <w:rPr>
          <w:rFonts w:hint="eastAsia" w:ascii="黑体" w:hAnsi="黑体" w:eastAsia="黑体"/>
          <w:sz w:val="30"/>
          <w:szCs w:val="30"/>
          <w:highlight w:val="none"/>
        </w:rPr>
        <w:t>项目资格性和符合性审查表</w:t>
      </w:r>
    </w:p>
    <w:tbl>
      <w:tblPr>
        <w:tblStyle w:val="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77"/>
        <w:gridCol w:w="7784"/>
        <w:gridCol w:w="1455"/>
        <w:gridCol w:w="1543"/>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7" w:type="pct"/>
            <w:vMerge w:val="restart"/>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51" w:type="pct"/>
            <w:vMerge w:val="restart"/>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审查类型</w:t>
            </w:r>
          </w:p>
        </w:tc>
        <w:tc>
          <w:tcPr>
            <w:tcW w:w="2749" w:type="pct"/>
            <w:vMerge w:val="restart"/>
            <w:noWrap w:val="0"/>
            <w:vAlign w:val="center"/>
          </w:tcPr>
          <w:p>
            <w:pPr>
              <w:pStyle w:val="3"/>
              <w:spacing w:line="240" w:lineRule="exact"/>
              <w:ind w:firstLine="4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评审内容</w:t>
            </w:r>
          </w:p>
        </w:tc>
        <w:tc>
          <w:tcPr>
            <w:tcW w:w="1532" w:type="pct"/>
            <w:gridSpan w:val="3"/>
            <w:noWrap w:val="0"/>
            <w:vAlign w:val="center"/>
          </w:tcPr>
          <w:p>
            <w:pPr>
              <w:pStyle w:val="3"/>
              <w:spacing w:line="260" w:lineRule="exact"/>
              <w:ind w:firstLine="412"/>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申请</w:t>
            </w:r>
            <w:r>
              <w:rPr>
                <w:rFonts w:hint="eastAsia" w:asciiTheme="minorEastAsia" w:hAnsiTheme="minorEastAsia" w:eastAsiaTheme="minorEastAsia" w:cstheme="minorEastAsia"/>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7" w:type="pct"/>
            <w:vMerge w:val="continue"/>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rPr>
            </w:pPr>
          </w:p>
        </w:tc>
        <w:tc>
          <w:tcPr>
            <w:tcW w:w="451" w:type="pct"/>
            <w:vMerge w:val="continue"/>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rPr>
            </w:pPr>
          </w:p>
        </w:tc>
        <w:tc>
          <w:tcPr>
            <w:tcW w:w="2749" w:type="pct"/>
            <w:vMerge w:val="continue"/>
            <w:noWrap w:val="0"/>
            <w:vAlign w:val="center"/>
          </w:tcPr>
          <w:p>
            <w:pPr>
              <w:pStyle w:val="3"/>
              <w:spacing w:line="240" w:lineRule="exact"/>
              <w:ind w:firstLine="412"/>
              <w:jc w:val="center"/>
              <w:rPr>
                <w:rFonts w:hint="eastAsia" w:asciiTheme="minorEastAsia" w:hAnsiTheme="minorEastAsia" w:eastAsiaTheme="minorEastAsia" w:cstheme="minorEastAsia"/>
                <w:sz w:val="24"/>
                <w:szCs w:val="24"/>
              </w:rPr>
            </w:pP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单位1</w:t>
            </w: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单位2</w:t>
            </w: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单位</w:t>
            </w:r>
            <w:r>
              <w:rPr>
                <w:rFonts w:hint="eastAsia" w:asciiTheme="minorEastAsia" w:hAnsiTheme="minorEastAsia" w:eastAsiaTheme="minorEastAsia" w:cstheme="minorEastAsia"/>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7" w:type="pct"/>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51" w:type="pct"/>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关联审查</w:t>
            </w:r>
          </w:p>
        </w:tc>
        <w:tc>
          <w:tcPr>
            <w:tcW w:w="2749" w:type="pct"/>
            <w:noWrap w:val="0"/>
            <w:vAlign w:val="center"/>
          </w:tcPr>
          <w:p>
            <w:pPr>
              <w:spacing w:line="240" w:lineRule="exact"/>
              <w:rPr>
                <w:rFonts w:hint="default" w:ascii="仿宋_GB2312" w:hAnsi="宋体" w:eastAsia="仿宋_GB2312" w:cs="Tahoma"/>
                <w:sz w:val="21"/>
                <w:szCs w:val="21"/>
                <w:lang w:val="en-US" w:eastAsia="zh-CN"/>
              </w:rPr>
            </w:pPr>
            <w:r>
              <w:rPr>
                <w:rFonts w:hint="eastAsia" w:ascii="仿宋_GB2312" w:hAnsi="宋体" w:cs="Tahoma"/>
                <w:sz w:val="21"/>
                <w:szCs w:val="21"/>
                <w:lang w:val="en-US" w:eastAsia="zh-CN"/>
              </w:rPr>
              <w:t>申请单位之间是否存在关联，存在关联的申请单位视为不通过。</w:t>
            </w: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7" w:type="pct"/>
            <w:vMerge w:val="restart"/>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451" w:type="pct"/>
            <w:vMerge w:val="restart"/>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资格</w:t>
            </w:r>
            <w:r>
              <w:rPr>
                <w:rFonts w:hint="eastAsia" w:asciiTheme="minorEastAsia" w:hAnsiTheme="minorEastAsia" w:eastAsiaTheme="minorEastAsia" w:cstheme="minorEastAsia"/>
                <w:sz w:val="24"/>
                <w:szCs w:val="24"/>
                <w:lang w:val="en-US" w:eastAsia="zh-CN"/>
              </w:rPr>
              <w:t>性</w:t>
            </w:r>
          </w:p>
          <w:p>
            <w:pPr>
              <w:pStyle w:val="3"/>
              <w:spacing w:line="24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w:t>
            </w:r>
          </w:p>
        </w:tc>
        <w:tc>
          <w:tcPr>
            <w:tcW w:w="2749" w:type="pct"/>
            <w:noWrap w:val="0"/>
            <w:vAlign w:val="center"/>
          </w:tcPr>
          <w:p>
            <w:pPr>
              <w:spacing w:line="240" w:lineRule="exact"/>
              <w:rPr>
                <w:rFonts w:hint="eastAsia" w:ascii="仿宋_GB2312" w:hAnsi="宋体" w:eastAsia="宋体" w:cs="Tahoma"/>
                <w:sz w:val="21"/>
                <w:szCs w:val="21"/>
                <w:lang w:eastAsia="zh-CN"/>
              </w:rPr>
            </w:pPr>
            <w:r>
              <w:rPr>
                <w:rFonts w:hint="eastAsia" w:ascii="仿宋_GB2312" w:hAnsi="宋体" w:cs="Tahoma"/>
                <w:sz w:val="21"/>
                <w:szCs w:val="21"/>
              </w:rPr>
              <w:t>在中华人民共和国注册的具有独立承担民事责任能力的法人或其他组织，具有有效的营业执照或事业法人登记证</w:t>
            </w:r>
            <w:r>
              <w:rPr>
                <w:rFonts w:hint="eastAsia" w:ascii="仿宋_GB2312" w:hAnsi="宋体" w:cs="Tahoma"/>
                <w:sz w:val="21"/>
                <w:szCs w:val="21"/>
                <w:lang w:eastAsia="zh-CN"/>
              </w:rPr>
              <w:t>。</w:t>
            </w:r>
          </w:p>
        </w:tc>
        <w:tc>
          <w:tcPr>
            <w:tcW w:w="513" w:type="pct"/>
            <w:noWrap w:val="0"/>
            <w:vAlign w:val="center"/>
          </w:tcPr>
          <w:p>
            <w:pPr>
              <w:pStyle w:val="3"/>
              <w:spacing w:line="260" w:lineRule="exact"/>
              <w:ind w:firstLine="210" w:firstLineChars="100"/>
              <w:rPr>
                <w:rFonts w:hint="eastAsia" w:asciiTheme="minorEastAsia" w:hAnsiTheme="minorEastAsia" w:eastAsiaTheme="minorEastAsia" w:cstheme="minorEastAsia"/>
                <w:szCs w:val="21"/>
              </w:rPr>
            </w:pPr>
          </w:p>
        </w:tc>
        <w:tc>
          <w:tcPr>
            <w:tcW w:w="544" w:type="pct"/>
            <w:noWrap w:val="0"/>
            <w:vAlign w:val="center"/>
          </w:tcPr>
          <w:p>
            <w:pPr>
              <w:pStyle w:val="3"/>
              <w:spacing w:line="260" w:lineRule="exact"/>
              <w:ind w:firstLine="210" w:firstLineChars="100"/>
              <w:rPr>
                <w:rFonts w:hint="eastAsia" w:asciiTheme="minorEastAsia" w:hAnsiTheme="minorEastAsia" w:eastAsiaTheme="minorEastAsia" w:cstheme="minorEastAsia"/>
                <w:szCs w:val="21"/>
              </w:rPr>
            </w:pP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7" w:type="pct"/>
            <w:vMerge w:val="continue"/>
            <w:noWrap w:val="0"/>
            <w:vAlign w:val="center"/>
          </w:tcPr>
          <w:p>
            <w:pPr>
              <w:pStyle w:val="3"/>
              <w:spacing w:line="240" w:lineRule="exact"/>
              <w:ind w:firstLine="412"/>
              <w:jc w:val="center"/>
              <w:rPr>
                <w:rFonts w:hint="eastAsia" w:asciiTheme="minorEastAsia" w:hAnsiTheme="minorEastAsia" w:eastAsiaTheme="minorEastAsia" w:cstheme="minorEastAsia"/>
                <w:sz w:val="24"/>
                <w:szCs w:val="24"/>
              </w:rPr>
            </w:pPr>
          </w:p>
        </w:tc>
        <w:tc>
          <w:tcPr>
            <w:tcW w:w="451" w:type="pct"/>
            <w:vMerge w:val="continue"/>
            <w:noWrap w:val="0"/>
            <w:vAlign w:val="center"/>
          </w:tcPr>
          <w:p>
            <w:pPr>
              <w:pStyle w:val="3"/>
              <w:spacing w:line="240" w:lineRule="exact"/>
              <w:ind w:firstLine="412"/>
              <w:jc w:val="center"/>
              <w:rPr>
                <w:rFonts w:hint="eastAsia" w:asciiTheme="minorEastAsia" w:hAnsiTheme="minorEastAsia" w:eastAsiaTheme="minorEastAsia" w:cstheme="minorEastAsia"/>
                <w:sz w:val="24"/>
                <w:szCs w:val="24"/>
              </w:rPr>
            </w:pPr>
          </w:p>
        </w:tc>
        <w:tc>
          <w:tcPr>
            <w:tcW w:w="2749" w:type="pct"/>
            <w:noWrap w:val="0"/>
            <w:vAlign w:val="center"/>
          </w:tcPr>
          <w:p>
            <w:pPr>
              <w:spacing w:line="240" w:lineRule="exact"/>
              <w:rPr>
                <w:rFonts w:hint="eastAsia" w:ascii="仿宋_GB2312" w:hAnsi="宋体" w:cs="Tahoma"/>
                <w:sz w:val="21"/>
                <w:szCs w:val="21"/>
              </w:rPr>
            </w:pPr>
            <w:r>
              <w:rPr>
                <w:rFonts w:ascii="宋体" w:hAnsi="宋体" w:cs="Tahoma"/>
                <w:szCs w:val="21"/>
              </w:rPr>
              <w:t>在“信用中国”网站（www.creditchina.gov.cn）、中国政府采购网（www.ccgp.gov.cn）没有被列入失信被执行人、重大税收违法案件当事人名单、政府采购严重违法失信行为记录名单及其他不符合规定条件的供应商</w:t>
            </w:r>
            <w:r>
              <w:rPr>
                <w:rFonts w:hint="eastAsia" w:ascii="宋体" w:hAnsi="宋体" w:cs="Tahoma"/>
                <w:szCs w:val="21"/>
                <w:lang w:eastAsia="zh-CN"/>
              </w:rPr>
              <w:t>。</w:t>
            </w: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67" w:type="pct"/>
            <w:vMerge w:val="continue"/>
            <w:noWrap w:val="0"/>
            <w:vAlign w:val="center"/>
          </w:tcPr>
          <w:p>
            <w:pPr>
              <w:pStyle w:val="3"/>
              <w:spacing w:line="320" w:lineRule="exact"/>
              <w:ind w:firstLine="0" w:firstLineChars="0"/>
              <w:jc w:val="center"/>
              <w:rPr>
                <w:rFonts w:hint="eastAsia" w:asciiTheme="minorEastAsia" w:hAnsiTheme="minorEastAsia" w:eastAsiaTheme="minorEastAsia" w:cstheme="minorEastAsia"/>
                <w:sz w:val="24"/>
                <w:szCs w:val="24"/>
              </w:rPr>
            </w:pPr>
          </w:p>
        </w:tc>
        <w:tc>
          <w:tcPr>
            <w:tcW w:w="451" w:type="pct"/>
            <w:vMerge w:val="continue"/>
            <w:noWrap w:val="0"/>
            <w:vAlign w:val="center"/>
          </w:tcPr>
          <w:p>
            <w:pPr>
              <w:pStyle w:val="3"/>
              <w:spacing w:line="320" w:lineRule="exact"/>
              <w:ind w:firstLine="0" w:firstLineChars="0"/>
              <w:jc w:val="center"/>
              <w:rPr>
                <w:rFonts w:hint="eastAsia" w:asciiTheme="minorEastAsia" w:hAnsiTheme="minorEastAsia" w:eastAsiaTheme="minorEastAsia" w:cstheme="minorEastAsia"/>
                <w:sz w:val="24"/>
                <w:szCs w:val="24"/>
              </w:rPr>
            </w:pPr>
          </w:p>
        </w:tc>
        <w:tc>
          <w:tcPr>
            <w:tcW w:w="2749" w:type="pct"/>
            <w:noWrap w:val="0"/>
            <w:vAlign w:val="center"/>
          </w:tcPr>
          <w:p>
            <w:pPr>
              <w:rPr>
                <w:rFonts w:hint="eastAsia" w:ascii="仿宋_GB2312" w:hAnsi="宋体" w:eastAsia="宋体" w:cs="Tahoma"/>
                <w:sz w:val="21"/>
                <w:szCs w:val="21"/>
                <w:lang w:eastAsia="zh-CN"/>
              </w:rPr>
            </w:pPr>
            <w:r>
              <w:rPr>
                <w:rFonts w:hint="eastAsia" w:ascii="宋体" w:hAnsi="宋体" w:cs="Tahoma"/>
                <w:szCs w:val="21"/>
              </w:rPr>
              <w:t>满足供应商资格条件中的其他要求</w:t>
            </w: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7" w:type="pct"/>
            <w:vMerge w:val="restart"/>
            <w:noWrap w:val="0"/>
            <w:vAlign w:val="center"/>
          </w:tcPr>
          <w:p>
            <w:pPr>
              <w:pStyle w:val="3"/>
              <w:spacing w:line="320" w:lineRule="exact"/>
              <w:ind w:firstLine="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451" w:type="pct"/>
            <w:vMerge w:val="restart"/>
            <w:noWrap w:val="0"/>
            <w:vAlign w:val="center"/>
          </w:tcPr>
          <w:p>
            <w:pPr>
              <w:pStyle w:val="3"/>
              <w:spacing w:line="24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符合性</w:t>
            </w:r>
          </w:p>
          <w:p>
            <w:pPr>
              <w:pStyle w:val="3"/>
              <w:spacing w:line="240" w:lineRule="exact"/>
              <w:ind w:firstLine="0" w:firstLineChars="0"/>
              <w:jc w:val="center"/>
              <w:rPr>
                <w:rFonts w:hint="eastAsia" w:ascii="仿宋_GB2312" w:hAnsi="宋体" w:eastAsia="宋体" w:cs="Tahoma"/>
                <w:kern w:val="2"/>
                <w:sz w:val="21"/>
                <w:szCs w:val="21"/>
                <w:lang w:val="en-US" w:eastAsia="zh-CN" w:bidi="ar-SA"/>
              </w:rPr>
            </w:pPr>
            <w:r>
              <w:rPr>
                <w:rFonts w:hint="eastAsia" w:asciiTheme="minorEastAsia" w:hAnsiTheme="minorEastAsia" w:eastAsiaTheme="minorEastAsia" w:cstheme="minorEastAsia"/>
                <w:sz w:val="24"/>
                <w:szCs w:val="24"/>
                <w:lang w:val="en-US" w:eastAsia="zh-CN"/>
              </w:rPr>
              <w:t>审查</w:t>
            </w:r>
          </w:p>
        </w:tc>
        <w:tc>
          <w:tcPr>
            <w:tcW w:w="2749" w:type="pct"/>
            <w:noWrap w:val="0"/>
            <w:vAlign w:val="center"/>
          </w:tcPr>
          <w:p>
            <w:pPr>
              <w:pStyle w:val="3"/>
              <w:spacing w:line="320" w:lineRule="exact"/>
              <w:ind w:firstLine="0" w:firstLineChars="0"/>
              <w:jc w:val="left"/>
              <w:rPr>
                <w:rFonts w:hint="eastAsia" w:ascii="仿宋_GB2312" w:hAnsi="宋体" w:eastAsia="宋体" w:cs="Tahoma"/>
                <w:kern w:val="2"/>
                <w:sz w:val="21"/>
                <w:szCs w:val="21"/>
                <w:lang w:val="en-US" w:eastAsia="zh-CN" w:bidi="ar-SA"/>
              </w:rPr>
            </w:pPr>
            <w:r>
              <w:rPr>
                <w:rFonts w:hint="eastAsia" w:ascii="仿宋_GB2312" w:hAnsi="宋体" w:eastAsia="宋体" w:cs="Tahoma"/>
                <w:kern w:val="2"/>
                <w:sz w:val="21"/>
                <w:szCs w:val="21"/>
                <w:lang w:val="en-US" w:eastAsia="zh-CN" w:bidi="ar-SA"/>
              </w:rPr>
              <w:t>申请报价是固定价且是唯一的，</w:t>
            </w:r>
            <w:r>
              <w:rPr>
                <w:rFonts w:hint="eastAsia" w:ascii="宋体" w:hAnsi="宋体" w:cs="Tahoma"/>
                <w:szCs w:val="21"/>
                <w:lang w:eastAsia="zh-CN"/>
              </w:rPr>
              <w:t>申请报价未超过预算。</w:t>
            </w: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7" w:type="pct"/>
            <w:vMerge w:val="continue"/>
            <w:noWrap w:val="0"/>
            <w:vAlign w:val="center"/>
          </w:tcPr>
          <w:p>
            <w:pPr>
              <w:pStyle w:val="3"/>
              <w:spacing w:line="320" w:lineRule="exact"/>
              <w:ind w:firstLine="412"/>
              <w:rPr>
                <w:rFonts w:hint="eastAsia" w:ascii="仿宋_GB2312" w:hAnsi="宋体" w:eastAsia="仿宋_GB2312" w:cs="Tahoma"/>
                <w:szCs w:val="21"/>
              </w:rPr>
            </w:pPr>
          </w:p>
        </w:tc>
        <w:tc>
          <w:tcPr>
            <w:tcW w:w="451" w:type="pct"/>
            <w:vMerge w:val="continue"/>
            <w:noWrap w:val="0"/>
            <w:vAlign w:val="center"/>
          </w:tcPr>
          <w:p>
            <w:pPr>
              <w:spacing w:line="320" w:lineRule="exact"/>
              <w:jc w:val="center"/>
              <w:rPr>
                <w:rFonts w:hint="eastAsia" w:ascii="仿宋_GB2312" w:hAnsi="宋体" w:cs="Tahoma"/>
                <w:szCs w:val="21"/>
              </w:rPr>
            </w:pPr>
          </w:p>
        </w:tc>
        <w:tc>
          <w:tcPr>
            <w:tcW w:w="2749" w:type="pct"/>
            <w:noWrap w:val="0"/>
            <w:vAlign w:val="center"/>
          </w:tcPr>
          <w:p>
            <w:pPr>
              <w:pStyle w:val="3"/>
              <w:spacing w:line="320" w:lineRule="exact"/>
              <w:ind w:firstLine="0" w:firstLineChars="0"/>
              <w:jc w:val="left"/>
              <w:rPr>
                <w:rFonts w:hint="eastAsia" w:ascii="仿宋_GB2312" w:hAnsi="宋体" w:eastAsia="宋体" w:cs="Tahoma"/>
                <w:kern w:val="2"/>
                <w:sz w:val="21"/>
                <w:szCs w:val="21"/>
                <w:lang w:val="en-US" w:eastAsia="zh-CN" w:bidi="ar-SA"/>
              </w:rPr>
            </w:pPr>
            <w:r>
              <w:rPr>
                <w:rFonts w:hint="eastAsia" w:ascii="仿宋_GB2312" w:hAnsi="宋体" w:eastAsia="宋体" w:cs="Tahoma"/>
                <w:kern w:val="2"/>
                <w:sz w:val="21"/>
                <w:szCs w:val="21"/>
                <w:lang w:val="en-US" w:eastAsia="zh-CN" w:bidi="ar-SA"/>
              </w:rPr>
              <w:t>申请文件与委托内容无明显偏离。</w:t>
            </w: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67" w:type="pct"/>
            <w:vMerge w:val="continue"/>
            <w:noWrap w:val="0"/>
            <w:vAlign w:val="center"/>
          </w:tcPr>
          <w:p>
            <w:pPr>
              <w:pStyle w:val="3"/>
              <w:spacing w:line="320" w:lineRule="exact"/>
              <w:ind w:firstLine="0" w:firstLineChars="0"/>
              <w:jc w:val="center"/>
              <w:rPr>
                <w:rFonts w:hint="eastAsia" w:ascii="仿宋_GB2312" w:hAnsi="宋体" w:eastAsia="仿宋_GB2312" w:cs="Tahoma"/>
                <w:szCs w:val="21"/>
              </w:rPr>
            </w:pPr>
          </w:p>
        </w:tc>
        <w:tc>
          <w:tcPr>
            <w:tcW w:w="451" w:type="pct"/>
            <w:vMerge w:val="continue"/>
            <w:noWrap w:val="0"/>
            <w:vAlign w:val="center"/>
          </w:tcPr>
          <w:p>
            <w:pPr>
              <w:spacing w:line="320" w:lineRule="exact"/>
              <w:jc w:val="center"/>
              <w:rPr>
                <w:rFonts w:hint="eastAsia" w:ascii="仿宋_GB2312" w:hAnsi="宋体" w:cs="Tahoma"/>
                <w:szCs w:val="21"/>
              </w:rPr>
            </w:pPr>
          </w:p>
        </w:tc>
        <w:tc>
          <w:tcPr>
            <w:tcW w:w="2749" w:type="pct"/>
            <w:noWrap w:val="0"/>
            <w:vAlign w:val="center"/>
          </w:tcPr>
          <w:p>
            <w:pPr>
              <w:pStyle w:val="3"/>
              <w:spacing w:line="320" w:lineRule="exact"/>
              <w:ind w:firstLine="0" w:firstLineChars="0"/>
              <w:jc w:val="left"/>
              <w:rPr>
                <w:rFonts w:hint="eastAsia" w:ascii="仿宋_GB2312" w:hAnsi="宋体" w:eastAsia="宋体" w:cs="Tahoma"/>
                <w:kern w:val="2"/>
                <w:sz w:val="21"/>
                <w:szCs w:val="21"/>
                <w:lang w:val="en-US" w:eastAsia="zh-CN" w:bidi="ar-SA"/>
              </w:rPr>
            </w:pPr>
            <w:r>
              <w:rPr>
                <w:rFonts w:hint="eastAsia" w:ascii="仿宋_GB2312" w:hAnsi="宋体" w:eastAsia="宋体" w:cs="Tahoma"/>
                <w:kern w:val="2"/>
                <w:sz w:val="21"/>
                <w:szCs w:val="21"/>
                <w:lang w:val="en-US" w:eastAsia="zh-CN" w:bidi="ar-SA"/>
              </w:rPr>
              <w:t>申请文件完整且编排有序，申请内容基本完整，无重大错漏，并按要求密封、签署、盖章。</w:t>
            </w: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67" w:type="pct"/>
            <w:vMerge w:val="continue"/>
            <w:noWrap w:val="0"/>
            <w:vAlign w:val="center"/>
          </w:tcPr>
          <w:p>
            <w:pPr>
              <w:pStyle w:val="3"/>
              <w:spacing w:line="320" w:lineRule="exact"/>
              <w:ind w:firstLine="0" w:firstLineChars="0"/>
              <w:jc w:val="center"/>
              <w:rPr>
                <w:rFonts w:hint="eastAsia" w:ascii="仿宋_GB2312" w:hAnsi="宋体" w:eastAsia="仿宋_GB2312" w:cs="Tahoma"/>
                <w:szCs w:val="21"/>
              </w:rPr>
            </w:pPr>
          </w:p>
        </w:tc>
        <w:tc>
          <w:tcPr>
            <w:tcW w:w="451" w:type="pct"/>
            <w:vMerge w:val="continue"/>
            <w:noWrap w:val="0"/>
            <w:vAlign w:val="center"/>
          </w:tcPr>
          <w:p>
            <w:pPr>
              <w:spacing w:line="320" w:lineRule="exact"/>
              <w:jc w:val="center"/>
              <w:rPr>
                <w:rFonts w:hint="eastAsia" w:ascii="仿宋_GB2312" w:hAnsi="宋体" w:cs="Tahoma"/>
                <w:szCs w:val="21"/>
              </w:rPr>
            </w:pPr>
          </w:p>
        </w:tc>
        <w:tc>
          <w:tcPr>
            <w:tcW w:w="2749" w:type="pct"/>
            <w:noWrap w:val="0"/>
            <w:vAlign w:val="center"/>
          </w:tcPr>
          <w:p>
            <w:pPr>
              <w:pStyle w:val="3"/>
              <w:spacing w:line="320" w:lineRule="exact"/>
              <w:ind w:firstLine="0" w:firstLineChars="0"/>
              <w:jc w:val="left"/>
              <w:rPr>
                <w:rFonts w:hint="eastAsia" w:ascii="仿宋_GB2312" w:hAnsi="宋体" w:eastAsia="宋体" w:cs="Tahoma"/>
                <w:kern w:val="2"/>
                <w:sz w:val="21"/>
                <w:szCs w:val="21"/>
                <w:lang w:val="en-US" w:eastAsia="zh-CN" w:bidi="ar-SA"/>
              </w:rPr>
            </w:pPr>
            <w:r>
              <w:rPr>
                <w:rFonts w:ascii="宋体" w:hAnsi="宋体" w:cs="Tahoma"/>
                <w:szCs w:val="21"/>
              </w:rPr>
              <w:t>不属于法律、法规、规章规定无效</w:t>
            </w:r>
            <w:r>
              <w:rPr>
                <w:rFonts w:hint="eastAsia" w:ascii="宋体" w:hAnsi="宋体" w:cs="Tahoma"/>
                <w:szCs w:val="21"/>
              </w:rPr>
              <w:t>申请</w:t>
            </w:r>
            <w:r>
              <w:rPr>
                <w:rFonts w:ascii="宋体" w:hAnsi="宋体" w:cs="Tahoma"/>
                <w:szCs w:val="21"/>
              </w:rPr>
              <w:t>的其他情形。</w:t>
            </w: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7" w:type="pct"/>
            <w:gridSpan w:val="3"/>
            <w:noWrap w:val="0"/>
            <w:vAlign w:val="center"/>
          </w:tcPr>
          <w:p>
            <w:pPr>
              <w:pStyle w:val="3"/>
              <w:spacing w:line="320" w:lineRule="exact"/>
              <w:ind w:firstLine="3360" w:firstLineChars="1600"/>
              <w:jc w:val="left"/>
              <w:rPr>
                <w:rFonts w:hint="eastAsia" w:ascii="仿宋_GB2312" w:hAnsi="宋体" w:eastAsia="仿宋_GB2312" w:cs="Tahoma"/>
                <w:szCs w:val="21"/>
                <w:lang w:eastAsia="zh-CN"/>
              </w:rPr>
            </w:pPr>
            <w:r>
              <w:rPr>
                <w:rFonts w:hint="eastAsia" w:ascii="仿宋_GB2312" w:hAnsi="宋体" w:eastAsia="仿宋_GB2312" w:cs="Tahoma"/>
                <w:szCs w:val="21"/>
                <w:lang w:eastAsia="zh-CN"/>
              </w:rPr>
              <w:t>结</w:t>
            </w:r>
            <w:r>
              <w:rPr>
                <w:rFonts w:hint="eastAsia" w:ascii="仿宋_GB2312" w:hAnsi="宋体" w:eastAsia="仿宋_GB2312" w:cs="Tahoma"/>
                <w:szCs w:val="21"/>
                <w:lang w:val="en-US" w:eastAsia="zh-CN"/>
              </w:rPr>
              <w:t xml:space="preserve">         </w:t>
            </w:r>
            <w:r>
              <w:rPr>
                <w:rFonts w:hint="eastAsia" w:ascii="仿宋_GB2312" w:hAnsi="宋体" w:eastAsia="仿宋_GB2312" w:cs="Tahoma"/>
                <w:szCs w:val="21"/>
                <w:lang w:eastAsia="zh-CN"/>
              </w:rPr>
              <w:t>论</w:t>
            </w:r>
          </w:p>
        </w:tc>
        <w:tc>
          <w:tcPr>
            <w:tcW w:w="51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  过□</w:t>
            </w:r>
          </w:p>
          <w:p>
            <w:pPr>
              <w:pStyle w:val="3"/>
              <w:spacing w:line="260" w:lineRule="exact"/>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不通过□</w:t>
            </w:r>
          </w:p>
        </w:tc>
        <w:tc>
          <w:tcPr>
            <w:tcW w:w="544"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  过□</w:t>
            </w:r>
          </w:p>
          <w:p>
            <w:pPr>
              <w:pStyle w:val="3"/>
              <w:spacing w:line="260" w:lineRule="exact"/>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不通过□</w:t>
            </w:r>
          </w:p>
        </w:tc>
        <w:tc>
          <w:tcPr>
            <w:tcW w:w="473" w:type="pct"/>
            <w:noWrap w:val="0"/>
            <w:vAlign w:val="center"/>
          </w:tcPr>
          <w:p>
            <w:pPr>
              <w:pStyle w:val="3"/>
              <w:spacing w:line="260" w:lineRule="exact"/>
              <w:ind w:firstLine="0" w:firstLine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  过□</w:t>
            </w:r>
          </w:p>
          <w:p>
            <w:pPr>
              <w:pStyle w:val="3"/>
              <w:spacing w:line="260" w:lineRule="exact"/>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不通过□</w:t>
            </w:r>
          </w:p>
        </w:tc>
      </w:tr>
    </w:tbl>
    <w:p>
      <w:pPr>
        <w:spacing w:line="240" w:lineRule="auto"/>
        <w:ind w:firstLine="420" w:firstLineChars="200"/>
        <w:rPr>
          <w:rFonts w:hint="eastAsia" w:ascii="仿宋_GB2312"/>
          <w:szCs w:val="32"/>
        </w:rPr>
      </w:pPr>
      <w:r>
        <w:rPr>
          <w:rFonts w:hint="eastAsia" w:ascii="仿宋_GB2312"/>
          <w:szCs w:val="32"/>
        </w:rPr>
        <w:t xml:space="preserve"> </w:t>
      </w:r>
      <w:r>
        <w:rPr>
          <w:rFonts w:hint="default" w:ascii="Arial" w:hAnsi="Arial" w:cs="Arial"/>
          <w:szCs w:val="32"/>
        </w:rPr>
        <w:t>＊</w:t>
      </w:r>
      <w:r>
        <w:rPr>
          <w:rFonts w:hint="eastAsia" w:ascii="仿宋_GB2312" w:hAnsi="宋体" w:eastAsia="仿宋_GB2312" w:cs="Tahoma"/>
          <w:szCs w:val="21"/>
        </w:rPr>
        <w:t>资格审查符合者，资格审查结论为通过，方可评审其他内容。</w:t>
      </w:r>
    </w:p>
    <w:p>
      <w:pPr>
        <w:spacing w:line="240" w:lineRule="auto"/>
        <w:ind w:firstLine="0" w:firstLineChars="0"/>
        <w:jc w:val="left"/>
        <w:rPr>
          <w:rFonts w:hint="eastAsia" w:ascii="黑体" w:hAnsi="黑体" w:eastAsia="黑体"/>
          <w:sz w:val="30"/>
          <w:szCs w:val="30"/>
          <w:highlight w:val="none"/>
        </w:rPr>
      </w:pPr>
      <w:r>
        <w:rPr>
          <w:rFonts w:hint="eastAsia" w:ascii="仿宋_GB2312" w:hAnsi="仿宋_GB2312" w:eastAsia="仿宋_GB2312" w:cs="仿宋_GB2312"/>
          <w:sz w:val="30"/>
          <w:szCs w:val="30"/>
        </w:rPr>
        <w:t>评</w:t>
      </w:r>
      <w:r>
        <w:rPr>
          <w:rFonts w:hint="eastAsia" w:ascii="仿宋_GB2312" w:hAnsi="仿宋_GB2312" w:eastAsia="仿宋_GB2312" w:cs="仿宋_GB2312"/>
          <w:sz w:val="30"/>
          <w:szCs w:val="30"/>
          <w:lang w:eastAsia="zh-CN"/>
        </w:rPr>
        <w:t>审人员</w:t>
      </w:r>
      <w:r>
        <w:rPr>
          <w:rFonts w:hint="eastAsia" w:ascii="仿宋_GB2312" w:hAnsi="仿宋_GB2312" w:eastAsia="仿宋_GB2312" w:cs="仿宋_GB2312"/>
          <w:sz w:val="30"/>
          <w:szCs w:val="30"/>
        </w:rPr>
        <w:t xml:space="preserve">签名：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lang w:val="en-US" w:eastAsia="zh-CN"/>
        </w:rPr>
        <w:t xml:space="preserve">      年   月    日</w:t>
      </w:r>
    </w:p>
    <w:p>
      <w:pPr>
        <w:numPr>
          <w:ilvl w:val="0"/>
          <w:numId w:val="0"/>
        </w:numPr>
        <w:spacing w:before="0" w:beforeLines="0" w:line="400" w:lineRule="exact"/>
        <w:jc w:val="center"/>
        <w:rPr>
          <w:rFonts w:hint="eastAsia" w:ascii="黑体" w:hAnsi="黑体" w:eastAsia="黑体"/>
          <w:sz w:val="30"/>
          <w:szCs w:val="30"/>
          <w:highlight w:val="none"/>
        </w:rPr>
      </w:pPr>
      <w:r>
        <w:rPr>
          <w:rFonts w:hint="eastAsia" w:ascii="黑体" w:hAnsi="黑体" w:eastAsia="黑体"/>
          <w:sz w:val="30"/>
          <w:szCs w:val="30"/>
          <w:highlight w:val="none"/>
        </w:rPr>
        <w:t>广州市</w:t>
      </w:r>
      <w:r>
        <w:rPr>
          <w:rFonts w:hint="eastAsia" w:ascii="黑体" w:hAnsi="黑体" w:eastAsia="黑体"/>
          <w:sz w:val="30"/>
          <w:szCs w:val="30"/>
          <w:highlight w:val="none"/>
          <w:lang w:eastAsia="zh-CN"/>
        </w:rPr>
        <w:t>农业环境与植物保护总站</w:t>
      </w:r>
      <w:r>
        <w:rPr>
          <w:rFonts w:hint="eastAsia" w:ascii="黑体" w:hAnsi="黑体" w:eastAsia="黑体"/>
          <w:sz w:val="30"/>
          <w:szCs w:val="30"/>
          <w:highlight w:val="none"/>
        </w:rPr>
        <w:t>项目</w:t>
      </w:r>
      <w:r>
        <w:rPr>
          <w:rFonts w:hint="eastAsia" w:ascii="黑体" w:hAnsi="黑体" w:eastAsia="黑体"/>
          <w:sz w:val="30"/>
          <w:szCs w:val="30"/>
          <w:highlight w:val="none"/>
          <w:lang w:eastAsia="zh-CN"/>
        </w:rPr>
        <w:t>综合</w:t>
      </w:r>
      <w:r>
        <w:rPr>
          <w:rFonts w:hint="eastAsia" w:ascii="黑体" w:hAnsi="黑体" w:eastAsia="黑体"/>
          <w:sz w:val="30"/>
          <w:szCs w:val="30"/>
          <w:highlight w:val="none"/>
        </w:rPr>
        <w:t>评分表</w:t>
      </w:r>
    </w:p>
    <w:p>
      <w:pPr>
        <w:pStyle w:val="2"/>
        <w:rPr>
          <w:rFonts w:hint="eastAsia"/>
        </w:rPr>
      </w:pPr>
    </w:p>
    <w:tbl>
      <w:tblPr>
        <w:tblStyle w:val="7"/>
        <w:tblW w:w="50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459"/>
        <w:gridCol w:w="1384"/>
        <w:gridCol w:w="9082"/>
        <w:gridCol w:w="1131"/>
        <w:gridCol w:w="1071"/>
        <w:gridCol w:w="11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90" w:hRule="atLeast"/>
          <w:tblHeader/>
        </w:trPr>
        <w:tc>
          <w:tcPr>
            <w:tcW w:w="5000" w:type="pct"/>
            <w:gridSpan w:val="6"/>
            <w:tcBorders>
              <w:right w:val="single" w:color="auto" w:sz="4" w:space="0"/>
            </w:tcBorders>
            <w:noWrap w:val="0"/>
            <w:vAlign w:val="center"/>
          </w:tcPr>
          <w:p>
            <w:pPr>
              <w:spacing w:beforeLines="0" w:line="400" w:lineRule="exact"/>
              <w:jc w:val="center"/>
              <w:rPr>
                <w:rFonts w:hint="default" w:ascii="宋体" w:hAnsi="宋体" w:eastAsia="宋体" w:cs="宋体"/>
                <w:b/>
                <w:bCs/>
                <w:color w:val="000000"/>
                <w:sz w:val="22"/>
                <w:szCs w:val="22"/>
                <w:lang w:val="en-US" w:eastAsia="zh-CN"/>
              </w:rPr>
            </w:pPr>
            <w:r>
              <w:rPr>
                <w:rFonts w:hint="default" w:ascii="宋体" w:hAnsi="宋体" w:eastAsia="宋体" w:cs="宋体"/>
                <w:b/>
                <w:bCs/>
                <w:color w:val="000000"/>
                <w:sz w:val="22"/>
                <w:szCs w:val="22"/>
                <w:lang w:val="en-US" w:eastAsia="zh-CN"/>
              </w:rPr>
              <w:t>1.技术商务评价标准（80分）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84" w:hRule="atLeast"/>
          <w:tblHeader/>
        </w:trPr>
        <w:tc>
          <w:tcPr>
            <w:tcW w:w="161" w:type="pct"/>
            <w:vMerge w:val="restart"/>
            <w:noWrap w:val="0"/>
            <w:vAlign w:val="center"/>
          </w:tcPr>
          <w:p>
            <w:pPr>
              <w:spacing w:beforeLines="0" w:line="400" w:lineRule="exact"/>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485" w:type="pct"/>
            <w:vMerge w:val="restart"/>
            <w:noWrap w:val="0"/>
            <w:vAlign w:val="center"/>
          </w:tcPr>
          <w:p>
            <w:pPr>
              <w:spacing w:beforeLines="0" w:line="400" w:lineRule="exact"/>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评审</w:t>
            </w:r>
          </w:p>
          <w:p>
            <w:pPr>
              <w:spacing w:beforeLines="0" w:line="400" w:lineRule="exact"/>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内容</w:t>
            </w:r>
          </w:p>
        </w:tc>
        <w:tc>
          <w:tcPr>
            <w:tcW w:w="3181" w:type="pct"/>
            <w:vMerge w:val="restart"/>
            <w:noWrap w:val="0"/>
            <w:vAlign w:val="center"/>
          </w:tcPr>
          <w:p>
            <w:pPr>
              <w:spacing w:beforeLines="0" w:line="400" w:lineRule="exact"/>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评审标准</w:t>
            </w:r>
          </w:p>
        </w:tc>
        <w:tc>
          <w:tcPr>
            <w:tcW w:w="1171" w:type="pct"/>
            <w:gridSpan w:val="3"/>
            <w:tcBorders>
              <w:right w:val="single" w:color="auto" w:sz="4" w:space="0"/>
            </w:tcBorders>
            <w:noWrap w:val="0"/>
            <w:vAlign w:val="center"/>
          </w:tcPr>
          <w:p>
            <w:pPr>
              <w:spacing w:beforeLines="0" w:line="400" w:lineRule="exact"/>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22"/>
                <w:szCs w:val="22"/>
                <w:lang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05" w:hRule="atLeast"/>
          <w:tblHeader/>
        </w:trPr>
        <w:tc>
          <w:tcPr>
            <w:tcW w:w="161" w:type="pct"/>
            <w:vMerge w:val="continue"/>
            <w:noWrap w:val="0"/>
            <w:vAlign w:val="center"/>
          </w:tcPr>
          <w:p>
            <w:pPr>
              <w:jc w:val="center"/>
              <w:rPr>
                <w:rFonts w:hint="eastAsia" w:ascii="宋体" w:hAnsi="宋体" w:eastAsia="宋体" w:cs="宋体"/>
                <w:b/>
                <w:bCs/>
                <w:color w:val="000000"/>
                <w:sz w:val="22"/>
                <w:szCs w:val="22"/>
              </w:rPr>
            </w:pPr>
          </w:p>
        </w:tc>
        <w:tc>
          <w:tcPr>
            <w:tcW w:w="485" w:type="pct"/>
            <w:vMerge w:val="continue"/>
            <w:noWrap w:val="0"/>
            <w:vAlign w:val="center"/>
          </w:tcPr>
          <w:p>
            <w:pPr>
              <w:jc w:val="center"/>
              <w:rPr>
                <w:rFonts w:hint="eastAsia" w:ascii="宋体" w:hAnsi="宋体" w:eastAsia="宋体" w:cs="宋体"/>
                <w:b/>
                <w:bCs/>
                <w:color w:val="000000"/>
                <w:sz w:val="22"/>
                <w:szCs w:val="22"/>
              </w:rPr>
            </w:pPr>
          </w:p>
        </w:tc>
        <w:tc>
          <w:tcPr>
            <w:tcW w:w="3181" w:type="pct"/>
            <w:vMerge w:val="continue"/>
            <w:noWrap w:val="0"/>
            <w:vAlign w:val="center"/>
          </w:tcPr>
          <w:p>
            <w:pPr>
              <w:jc w:val="center"/>
              <w:rPr>
                <w:rFonts w:hint="eastAsia" w:ascii="宋体" w:hAnsi="宋体" w:eastAsia="宋体" w:cs="宋体"/>
                <w:b/>
                <w:bCs/>
                <w:color w:val="000000"/>
                <w:sz w:val="22"/>
                <w:szCs w:val="22"/>
              </w:rPr>
            </w:pPr>
          </w:p>
        </w:tc>
        <w:tc>
          <w:tcPr>
            <w:tcW w:w="396" w:type="pct"/>
            <w:noWrap w:val="0"/>
            <w:vAlign w:val="center"/>
          </w:tcPr>
          <w:p>
            <w:pPr>
              <w:widowControl/>
              <w:spacing w:line="240" w:lineRule="exact"/>
              <w:ind w:firstLine="0" w:firstLineChars="0"/>
              <w:jc w:val="center"/>
              <w:rPr>
                <w:rFonts w:hint="eastAsia" w:ascii="宋体" w:hAnsi="宋体" w:eastAsia="宋体" w:cs="宋体"/>
                <w:b/>
                <w:bCs/>
                <w:color w:val="000000"/>
                <w:kern w:val="2"/>
                <w:sz w:val="18"/>
                <w:szCs w:val="18"/>
                <w:lang w:val="en-US" w:eastAsia="zh-CN" w:bidi="ar-SA"/>
              </w:rPr>
            </w:pPr>
            <w:r>
              <w:rPr>
                <w:rFonts w:hint="eastAsia" w:ascii="仿宋_GB2312" w:hAnsi="宋体" w:eastAsia="宋体" w:cs="Times New Roman"/>
                <w:kern w:val="2"/>
                <w:sz w:val="21"/>
                <w:szCs w:val="32"/>
                <w:lang w:val="en-US" w:eastAsia="zh-CN" w:bidi="ar-SA"/>
              </w:rPr>
              <w:t>单位1</w:t>
            </w:r>
          </w:p>
        </w:tc>
        <w:tc>
          <w:tcPr>
            <w:tcW w:w="375" w:type="pct"/>
            <w:noWrap w:val="0"/>
            <w:vAlign w:val="center"/>
          </w:tcPr>
          <w:p>
            <w:pPr>
              <w:widowControl/>
              <w:spacing w:line="240" w:lineRule="exact"/>
              <w:ind w:firstLine="0" w:firstLineChars="0"/>
              <w:jc w:val="center"/>
              <w:rPr>
                <w:rFonts w:hint="default" w:ascii="宋体" w:hAnsi="宋体" w:eastAsia="宋体" w:cs="宋体"/>
                <w:b/>
                <w:bCs/>
                <w:color w:val="000000"/>
                <w:kern w:val="2"/>
                <w:sz w:val="18"/>
                <w:szCs w:val="18"/>
                <w:lang w:val="en-US" w:eastAsia="zh-CN" w:bidi="ar-SA"/>
              </w:rPr>
            </w:pPr>
            <w:r>
              <w:rPr>
                <w:rFonts w:hint="eastAsia" w:ascii="仿宋_GB2312" w:hAnsi="宋体" w:eastAsia="宋体" w:cs="Times New Roman"/>
                <w:kern w:val="2"/>
                <w:sz w:val="21"/>
                <w:szCs w:val="32"/>
                <w:lang w:val="en-US" w:eastAsia="zh-CN" w:bidi="ar-SA"/>
              </w:rPr>
              <w:t>单位2</w:t>
            </w:r>
          </w:p>
        </w:tc>
        <w:tc>
          <w:tcPr>
            <w:tcW w:w="400" w:type="pct"/>
            <w:noWrap w:val="0"/>
            <w:vAlign w:val="center"/>
          </w:tcPr>
          <w:p>
            <w:pPr>
              <w:widowControl/>
              <w:spacing w:line="240" w:lineRule="exact"/>
              <w:ind w:firstLine="0" w:firstLineChars="0"/>
              <w:jc w:val="center"/>
              <w:rPr>
                <w:rFonts w:hint="default" w:ascii="仿宋_GB2312" w:hAnsi="仿宋" w:eastAsia="仿宋_GB2312" w:cs="Times New Roman"/>
                <w:kern w:val="2"/>
                <w:sz w:val="21"/>
                <w:szCs w:val="21"/>
                <w:lang w:val="en-US" w:eastAsia="zh-CN" w:bidi="ar-SA"/>
              </w:rPr>
            </w:pPr>
            <w:r>
              <w:rPr>
                <w:rFonts w:hint="eastAsia" w:ascii="仿宋_GB2312" w:hAnsi="宋体" w:eastAsia="宋体" w:cs="Times New Roman"/>
                <w:kern w:val="2"/>
                <w:sz w:val="21"/>
                <w:szCs w:val="32"/>
                <w:lang w:val="en-US" w:eastAsia="zh-CN" w:bidi="ar-SA"/>
              </w:rPr>
              <w:t>单位3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1383" w:hRule="atLeast"/>
          <w:tblHeader/>
        </w:trPr>
        <w:tc>
          <w:tcPr>
            <w:tcW w:w="161" w:type="pct"/>
            <w:noWrap w:val="0"/>
            <w:vAlign w:val="center"/>
          </w:tcPr>
          <w:p>
            <w:pPr>
              <w:ind w:left="42" w:leftChars="20" w:right="42" w:rightChars="20"/>
              <w:jc w:val="center"/>
              <w:rPr>
                <w:rFonts w:hint="eastAsia" w:ascii="宋体" w:hAnsi="宋体" w:eastAsia="宋体" w:cs="宋体"/>
                <w:sz w:val="22"/>
                <w:szCs w:val="22"/>
              </w:rPr>
            </w:pPr>
            <w:r>
              <w:rPr>
                <w:rFonts w:hint="eastAsia" w:ascii="宋体" w:hAnsi="宋体" w:cs="宋体"/>
                <w:szCs w:val="21"/>
              </w:rPr>
              <w:t>1</w:t>
            </w:r>
          </w:p>
        </w:tc>
        <w:tc>
          <w:tcPr>
            <w:tcW w:w="485" w:type="pct"/>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zCs w:val="21"/>
              </w:rPr>
            </w:pPr>
            <w:r>
              <w:rPr>
                <w:rFonts w:hint="eastAsia" w:ascii="宋体" w:hAnsi="宋体" w:cs="宋体"/>
                <w:szCs w:val="21"/>
              </w:rPr>
              <w:t>总体服务</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zCs w:val="21"/>
              </w:rPr>
            </w:pPr>
            <w:r>
              <w:rPr>
                <w:rFonts w:hint="eastAsia" w:ascii="宋体" w:hAnsi="宋体" w:cs="宋体"/>
                <w:szCs w:val="21"/>
              </w:rPr>
              <w:t>方案</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eastAsia="宋体"/>
                <w:color w:val="auto"/>
                <w:lang w:val="en-US" w:eastAsia="zh-CN"/>
              </w:rPr>
            </w:pPr>
            <w:r>
              <w:rPr>
                <w:rFonts w:hint="eastAsia" w:ascii="宋体" w:hAnsi="宋体" w:cs="宋体"/>
                <w:szCs w:val="21"/>
                <w:lang w:eastAsia="zh-CN"/>
              </w:rPr>
              <w:t>（</w:t>
            </w:r>
            <w:r>
              <w:rPr>
                <w:rFonts w:hint="eastAsia" w:ascii="宋体" w:hAnsi="宋体" w:cs="宋体"/>
                <w:szCs w:val="21"/>
                <w:lang w:val="en-US" w:eastAsia="zh-CN"/>
              </w:rPr>
              <w:t>30分</w:t>
            </w:r>
            <w:r>
              <w:rPr>
                <w:rFonts w:hint="eastAsia" w:ascii="宋体" w:hAnsi="宋体" w:cs="宋体"/>
                <w:szCs w:val="21"/>
                <w:lang w:eastAsia="zh-CN"/>
              </w:rPr>
              <w:t>）</w:t>
            </w:r>
          </w:p>
        </w:tc>
        <w:tc>
          <w:tcPr>
            <w:tcW w:w="318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服务方案周全</w:t>
            </w:r>
            <w:r>
              <w:rPr>
                <w:rFonts w:hint="eastAsia" w:asciiTheme="minorEastAsia" w:hAnsiTheme="minorEastAsia" w:eastAsiaTheme="minorEastAsia" w:cstheme="minorEastAsia"/>
                <w:lang w:eastAsia="zh-CN"/>
              </w:rPr>
              <w:t>，完全理解委托单位的需求，总体框架思路清晰，目标明确，分析透彻，</w:t>
            </w:r>
            <w:r>
              <w:rPr>
                <w:rFonts w:hint="eastAsia" w:asciiTheme="minorEastAsia" w:hAnsiTheme="minorEastAsia" w:eastAsiaTheme="minorEastAsia" w:cstheme="minorEastAsia"/>
              </w:rPr>
              <w:t>可实施性高，合理性、可行性强，对不可预见因素分析透彻</w:t>
            </w:r>
            <w:r>
              <w:rPr>
                <w:rFonts w:hint="eastAsia" w:asciiTheme="minorEastAsia" w:hAnsiTheme="minorEastAsia" w:eastAsiaTheme="minorEastAsia" w:cstheme="minorEastAsia"/>
                <w:lang w:eastAsia="zh-CN"/>
              </w:rPr>
              <w:t>，为优，</w:t>
            </w:r>
            <w:r>
              <w:rPr>
                <w:rFonts w:hint="eastAsia" w:asciiTheme="minorEastAsia" w:hAnsiTheme="minorEastAsia" w:eastAsiaTheme="minorEastAsia" w:cstheme="minorEastAsia"/>
                <w:lang w:val="en-US" w:eastAsia="zh-CN"/>
              </w:rPr>
              <w:t>得20-3</w:t>
            </w:r>
            <w:r>
              <w:rPr>
                <w:rFonts w:hint="eastAsia" w:asciiTheme="minorEastAsia" w:hAnsiTheme="minorEastAsia" w:eastAsiaTheme="minorEastAsia" w:cstheme="minorEastAsia"/>
              </w:rPr>
              <w:t>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服务方案较为全面，</w:t>
            </w:r>
            <w:r>
              <w:rPr>
                <w:rFonts w:hint="eastAsia" w:asciiTheme="minorEastAsia" w:hAnsiTheme="minorEastAsia" w:eastAsiaTheme="minorEastAsia" w:cstheme="minorEastAsia"/>
                <w:lang w:eastAsia="zh-CN"/>
              </w:rPr>
              <w:t>较理解委托单位的需求，总体框架思路较为清晰，目标较为明确，分析较透彻，</w:t>
            </w:r>
            <w:r>
              <w:rPr>
                <w:rFonts w:hint="eastAsia" w:asciiTheme="minorEastAsia" w:hAnsiTheme="minorEastAsia" w:eastAsiaTheme="minorEastAsia" w:cstheme="minorEastAsia"/>
              </w:rPr>
              <w:t>可实施性较高，具有一定的合理性、可行性，对不可预见因素分析</w:t>
            </w:r>
            <w:r>
              <w:rPr>
                <w:rFonts w:hint="eastAsia" w:asciiTheme="minorEastAsia" w:hAnsiTheme="minorEastAsia" w:eastAsiaTheme="minorEastAsia" w:cstheme="minorEastAsia"/>
                <w:lang w:eastAsia="zh-CN"/>
              </w:rPr>
              <w:t>比较</w:t>
            </w:r>
            <w:r>
              <w:rPr>
                <w:rFonts w:hint="eastAsia" w:asciiTheme="minorEastAsia" w:hAnsiTheme="minorEastAsia" w:eastAsiaTheme="minorEastAsia" w:cstheme="minorEastAsia"/>
              </w:rPr>
              <w:t>到位</w:t>
            </w:r>
            <w:r>
              <w:rPr>
                <w:rFonts w:hint="eastAsia" w:asciiTheme="minorEastAsia" w:hAnsiTheme="minorEastAsia" w:eastAsiaTheme="minorEastAsia" w:cstheme="minorEastAsia"/>
                <w:lang w:eastAsia="zh-CN"/>
              </w:rPr>
              <w:t>，为良，</w:t>
            </w:r>
            <w:r>
              <w:rPr>
                <w:rFonts w:hint="eastAsia" w:asciiTheme="minorEastAsia" w:hAnsiTheme="minorEastAsia" w:eastAsiaTheme="minorEastAsia" w:cstheme="minorEastAsia"/>
                <w:lang w:val="en-US" w:eastAsia="zh-CN"/>
              </w:rPr>
              <w:t>得11-20</w:t>
            </w:r>
            <w:r>
              <w:rPr>
                <w:rFonts w:hint="eastAsia" w:asciiTheme="minorEastAsia" w:hAnsiTheme="minorEastAsia" w:eastAsiaTheme="minorEastAsia" w:cstheme="minorEastAsia"/>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服务方案不全面，</w:t>
            </w:r>
            <w:r>
              <w:rPr>
                <w:rFonts w:hint="eastAsia" w:asciiTheme="minorEastAsia" w:hAnsiTheme="minorEastAsia" w:eastAsiaTheme="minorEastAsia" w:cstheme="minorEastAsia"/>
                <w:lang w:eastAsia="zh-CN"/>
              </w:rPr>
              <w:t>基本理解委托单位的需求，总体框架思路基本清晰，目标基本明确，分析基本透彻，</w:t>
            </w:r>
            <w:r>
              <w:rPr>
                <w:rFonts w:hint="eastAsia" w:asciiTheme="minorEastAsia" w:hAnsiTheme="minorEastAsia" w:eastAsiaTheme="minorEastAsia" w:cstheme="minorEastAsia"/>
              </w:rPr>
              <w:t>具有一定的可实施性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合理性</w:t>
            </w:r>
            <w:r>
              <w:rPr>
                <w:rFonts w:hint="eastAsia" w:asciiTheme="minorEastAsia" w:hAnsiTheme="minorEastAsia" w:eastAsiaTheme="minorEastAsia" w:cstheme="minorEastAsia"/>
                <w:lang w:eastAsia="zh-CN"/>
              </w:rPr>
              <w:t>和</w:t>
            </w:r>
            <w:r>
              <w:rPr>
                <w:rFonts w:hint="eastAsia" w:asciiTheme="minorEastAsia" w:hAnsiTheme="minorEastAsia" w:eastAsiaTheme="minorEastAsia" w:cstheme="minorEastAsia"/>
              </w:rPr>
              <w:t>可行性，对不可预见因素分析基本到位</w:t>
            </w:r>
            <w:r>
              <w:rPr>
                <w:rFonts w:hint="eastAsia" w:asciiTheme="minorEastAsia" w:hAnsiTheme="minorEastAsia" w:eastAsiaTheme="minorEastAsia" w:cstheme="minorEastAsia"/>
                <w:lang w:eastAsia="zh-CN"/>
              </w:rPr>
              <w:t>，为中，</w:t>
            </w:r>
            <w:r>
              <w:rPr>
                <w:rFonts w:hint="eastAsia" w:asciiTheme="minorEastAsia" w:hAnsiTheme="minorEastAsia" w:eastAsiaTheme="minorEastAsia" w:cstheme="minorEastAsia"/>
                <w:lang w:val="en-US" w:eastAsia="zh-CN"/>
              </w:rPr>
              <w:t>得6-</w:t>
            </w:r>
            <w:r>
              <w:rPr>
                <w:rFonts w:hint="eastAsia" w:asciiTheme="minorEastAsia" w:hAnsiTheme="minorEastAsia" w:eastAsiaTheme="minorEastAsia" w:cstheme="minorEastAsia"/>
              </w:rPr>
              <w:t>10分；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服务方案不全面，</w:t>
            </w:r>
            <w:r>
              <w:rPr>
                <w:rFonts w:hint="eastAsia" w:asciiTheme="minorEastAsia" w:hAnsiTheme="minorEastAsia" w:eastAsiaTheme="minorEastAsia" w:cstheme="minorEastAsia"/>
                <w:lang w:eastAsia="zh-CN"/>
              </w:rPr>
              <w:t>对委托单位的需求理解有偏差，总体框架思路不清晰，目标不明确，</w:t>
            </w:r>
            <w:r>
              <w:rPr>
                <w:rFonts w:hint="eastAsia" w:asciiTheme="minorEastAsia" w:hAnsiTheme="minorEastAsia" w:eastAsiaTheme="minorEastAsia" w:cstheme="minorEastAsia"/>
              </w:rPr>
              <w:t>可实施性、合理化、可行性一般，对不可预见因素分析不全面</w:t>
            </w:r>
            <w:r>
              <w:rPr>
                <w:rFonts w:hint="eastAsia" w:asciiTheme="minorEastAsia" w:hAnsiTheme="minorEastAsia" w:eastAsiaTheme="minorEastAsia" w:cstheme="minorEastAsia"/>
                <w:lang w:eastAsia="zh-CN"/>
              </w:rPr>
              <w:t>，为差，得</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lang w:val="en-US" w:eastAsia="zh-CN" w:bidi="ar-S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不提供不得分。</w:t>
            </w:r>
          </w:p>
        </w:tc>
        <w:tc>
          <w:tcPr>
            <w:tcW w:w="396" w:type="pct"/>
            <w:noWrap w:val="0"/>
            <w:vAlign w:val="center"/>
          </w:tcPr>
          <w:p>
            <w:pPr>
              <w:jc w:val="center"/>
              <w:rPr>
                <w:rFonts w:hint="eastAsia" w:ascii="宋体" w:hAnsi="宋体" w:eastAsia="宋体" w:cs="宋体"/>
                <w:sz w:val="18"/>
                <w:szCs w:val="18"/>
              </w:rPr>
            </w:pPr>
          </w:p>
        </w:tc>
        <w:tc>
          <w:tcPr>
            <w:tcW w:w="375" w:type="pct"/>
            <w:noWrap w:val="0"/>
            <w:vAlign w:val="center"/>
          </w:tcPr>
          <w:p>
            <w:pPr>
              <w:jc w:val="center"/>
              <w:rPr>
                <w:rFonts w:hint="eastAsia" w:ascii="宋体" w:hAnsi="宋体" w:eastAsia="宋体" w:cs="宋体"/>
                <w:sz w:val="18"/>
                <w:szCs w:val="18"/>
              </w:rPr>
            </w:pPr>
          </w:p>
        </w:tc>
        <w:tc>
          <w:tcPr>
            <w:tcW w:w="400" w:type="pct"/>
            <w:noWrap w:val="0"/>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90" w:hRule="atLeast"/>
          <w:tblHeader/>
        </w:trPr>
        <w:tc>
          <w:tcPr>
            <w:tcW w:w="161" w:type="pct"/>
            <w:noWrap w:val="0"/>
            <w:vAlign w:val="center"/>
          </w:tcPr>
          <w:p>
            <w:pPr>
              <w:ind w:left="42" w:leftChars="20" w:right="42" w:rightChars="20"/>
              <w:jc w:val="center"/>
              <w:rPr>
                <w:rFonts w:hint="eastAsia" w:ascii="宋体" w:hAnsi="宋体" w:eastAsia="宋体" w:cs="宋体"/>
                <w:sz w:val="22"/>
                <w:szCs w:val="22"/>
                <w:lang w:eastAsia="zh-CN"/>
              </w:rPr>
            </w:pPr>
            <w:r>
              <w:rPr>
                <w:rFonts w:hint="eastAsia" w:ascii="宋体" w:hAnsi="宋体" w:cs="宋体"/>
                <w:szCs w:val="21"/>
                <w:lang w:val="en-US" w:eastAsia="zh-CN"/>
              </w:rPr>
              <w:t>2</w:t>
            </w:r>
          </w:p>
        </w:tc>
        <w:tc>
          <w:tcPr>
            <w:tcW w:w="485" w:type="pct"/>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质量保证</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措施</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color w:val="auto"/>
                <w:lang w:val="en-US" w:eastAsia="zh-CN"/>
              </w:rPr>
            </w:pPr>
            <w:r>
              <w:rPr>
                <w:rFonts w:hint="eastAsia" w:ascii="宋体" w:hAnsi="宋体" w:cs="宋体"/>
                <w:color w:val="auto"/>
                <w:szCs w:val="21"/>
                <w:lang w:val="en-US" w:eastAsia="zh-CN"/>
              </w:rPr>
              <w:t>（15</w:t>
            </w:r>
            <w:r>
              <w:rPr>
                <w:rFonts w:hint="eastAsia" w:ascii="宋体" w:hAnsi="宋体" w:cs="宋体"/>
                <w:szCs w:val="21"/>
                <w:lang w:val="en-US" w:eastAsia="zh-CN"/>
              </w:rPr>
              <w:t>分</w:t>
            </w:r>
            <w:r>
              <w:rPr>
                <w:rFonts w:hint="eastAsia" w:ascii="宋体" w:hAnsi="宋体" w:cs="宋体"/>
                <w:color w:val="auto"/>
                <w:szCs w:val="21"/>
                <w:lang w:val="en-US" w:eastAsia="zh-CN"/>
              </w:rPr>
              <w:t>）</w:t>
            </w:r>
          </w:p>
        </w:tc>
        <w:tc>
          <w:tcPr>
            <w:tcW w:w="318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w:t>
            </w:r>
            <w:r>
              <w:rPr>
                <w:rFonts w:hint="eastAsia" w:asciiTheme="minorEastAsia" w:hAnsiTheme="minorEastAsia" w:eastAsiaTheme="minorEastAsia" w:cstheme="minorEastAsia"/>
                <w:lang w:eastAsia="zh-CN"/>
              </w:rPr>
              <w:t>申请单位</w:t>
            </w:r>
            <w:r>
              <w:rPr>
                <w:rFonts w:hint="eastAsia" w:asciiTheme="minorEastAsia" w:hAnsiTheme="minorEastAsia" w:eastAsiaTheme="minorEastAsia" w:cstheme="minorEastAsia"/>
              </w:rPr>
              <w:t>提供的</w:t>
            </w:r>
            <w:r>
              <w:rPr>
                <w:rFonts w:hint="eastAsia" w:asciiTheme="minorEastAsia" w:hAnsiTheme="minorEastAsia" w:eastAsiaTheme="minorEastAsia" w:cstheme="minorEastAsia"/>
                <w:lang w:eastAsia="zh-CN"/>
              </w:rPr>
              <w:t>过往拍摄方案和样片</w:t>
            </w:r>
            <w:r>
              <w:rPr>
                <w:rFonts w:hint="eastAsia" w:asciiTheme="minorEastAsia" w:hAnsiTheme="minorEastAsia" w:eastAsiaTheme="minorEastAsia" w:cstheme="minorEastAsia"/>
              </w:rPr>
              <w:t>进行综合评审：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方案科学完整，拍摄技巧先进，视频制作水准高，有创意且能清晰</w:t>
            </w:r>
            <w:r>
              <w:rPr>
                <w:rFonts w:hint="eastAsia" w:asciiTheme="minorEastAsia" w:hAnsiTheme="minorEastAsia" w:eastAsiaTheme="minorEastAsia" w:cstheme="minorEastAsia"/>
                <w:lang w:eastAsia="zh-CN"/>
              </w:rPr>
              <w:t>地展示</w:t>
            </w:r>
            <w:r>
              <w:rPr>
                <w:rFonts w:hint="eastAsia" w:asciiTheme="minorEastAsia" w:hAnsiTheme="minorEastAsia" w:eastAsiaTheme="minorEastAsia" w:cstheme="minorEastAsia"/>
              </w:rPr>
              <w:t>主题，得</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15分；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方案较科学完整，拍摄技巧较先进，视频制作水准较高，较能清晰的</w:t>
            </w:r>
            <w:r>
              <w:rPr>
                <w:rFonts w:hint="eastAsia" w:asciiTheme="minorEastAsia" w:hAnsiTheme="minorEastAsia" w:eastAsiaTheme="minorEastAsia" w:cstheme="minorEastAsia"/>
                <w:lang w:eastAsia="zh-CN"/>
              </w:rPr>
              <w:t>展示</w:t>
            </w:r>
            <w:r>
              <w:rPr>
                <w:rFonts w:hint="eastAsia" w:asciiTheme="minorEastAsia" w:hAnsiTheme="minorEastAsia" w:eastAsiaTheme="minorEastAsia" w:cstheme="minorEastAsia"/>
              </w:rPr>
              <w:t>主题，得</w:t>
            </w:r>
            <w:r>
              <w:rPr>
                <w:rFonts w:hint="eastAsia" w:asciiTheme="minorEastAsia" w:hAnsiTheme="minorEastAsia" w:eastAsiaTheme="minorEastAsia" w:cstheme="minorEastAsia"/>
                <w:lang w:val="en-US" w:eastAsia="zh-CN"/>
              </w:rPr>
              <w:t>6-10</w:t>
            </w:r>
            <w:r>
              <w:rPr>
                <w:rFonts w:hint="eastAsia" w:asciiTheme="minorEastAsia" w:hAnsiTheme="minorEastAsia" w:eastAsiaTheme="minorEastAsia" w:cstheme="minorEastAsia"/>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方案基本完整，拍摄技巧良好，视频制作水准一般，基本能</w:t>
            </w:r>
            <w:r>
              <w:rPr>
                <w:rFonts w:hint="eastAsia" w:asciiTheme="minorEastAsia" w:hAnsiTheme="minorEastAsia" w:eastAsiaTheme="minorEastAsia" w:cstheme="minorEastAsia"/>
                <w:lang w:eastAsia="zh-CN"/>
              </w:rPr>
              <w:t>展示</w:t>
            </w:r>
            <w:r>
              <w:rPr>
                <w:rFonts w:hint="eastAsia" w:asciiTheme="minorEastAsia" w:hAnsiTheme="minorEastAsia" w:eastAsiaTheme="minorEastAsia" w:cstheme="minorEastAsia"/>
              </w:rPr>
              <w:t>主题，得</w:t>
            </w:r>
            <w:r>
              <w:rPr>
                <w:rFonts w:hint="eastAsia" w:asciiTheme="minorEastAsia" w:hAnsiTheme="minorEastAsia" w:eastAsiaTheme="minorEastAsia" w:cstheme="minorEastAsia"/>
                <w:lang w:val="en-US" w:eastAsia="zh-CN"/>
              </w:rPr>
              <w:t>2-5</w:t>
            </w:r>
            <w:r>
              <w:rPr>
                <w:rFonts w:hint="eastAsia" w:asciiTheme="minorEastAsia" w:hAnsiTheme="minorEastAsia" w:eastAsiaTheme="minorEastAsia" w:cstheme="minorEastAsia"/>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2"/>
                <w:sz w:val="21"/>
                <w:szCs w:val="22"/>
                <w:lang w:val="zh-CN" w:eastAsia="zh-CN" w:bidi="ar-S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方案不完整，拍摄技巧差，视频制作水准差，得</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1分</w:t>
            </w:r>
            <w:r>
              <w:rPr>
                <w:rFonts w:hint="eastAsia" w:asciiTheme="minorEastAsia" w:hAnsiTheme="minorEastAsia" w:eastAsiaTheme="minorEastAsia" w:cstheme="minorEastAsia"/>
                <w:lang w:eastAsia="zh-CN"/>
              </w:rPr>
              <w:t>。</w:t>
            </w:r>
          </w:p>
        </w:tc>
        <w:tc>
          <w:tcPr>
            <w:tcW w:w="396" w:type="pct"/>
            <w:noWrap w:val="0"/>
            <w:vAlign w:val="center"/>
          </w:tcPr>
          <w:p>
            <w:pPr>
              <w:jc w:val="center"/>
              <w:rPr>
                <w:rFonts w:hint="eastAsia" w:ascii="宋体" w:hAnsi="宋体" w:eastAsia="宋体" w:cs="宋体"/>
                <w:sz w:val="18"/>
                <w:szCs w:val="18"/>
              </w:rPr>
            </w:pPr>
          </w:p>
        </w:tc>
        <w:tc>
          <w:tcPr>
            <w:tcW w:w="375" w:type="pct"/>
            <w:noWrap w:val="0"/>
            <w:vAlign w:val="center"/>
          </w:tcPr>
          <w:p>
            <w:pPr>
              <w:jc w:val="center"/>
              <w:rPr>
                <w:rFonts w:hint="eastAsia" w:ascii="宋体" w:hAnsi="宋体" w:eastAsia="宋体" w:cs="宋体"/>
                <w:sz w:val="18"/>
                <w:szCs w:val="18"/>
              </w:rPr>
            </w:pPr>
          </w:p>
        </w:tc>
        <w:tc>
          <w:tcPr>
            <w:tcW w:w="400" w:type="pct"/>
            <w:noWrap w:val="0"/>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040" w:hRule="atLeast"/>
          <w:tblHeader/>
        </w:trPr>
        <w:tc>
          <w:tcPr>
            <w:tcW w:w="161" w:type="pct"/>
            <w:noWrap w:val="0"/>
            <w:vAlign w:val="center"/>
          </w:tcPr>
          <w:p>
            <w:pPr>
              <w:ind w:left="42" w:leftChars="20" w:right="42" w:rightChars="20"/>
              <w:jc w:val="center"/>
              <w:rPr>
                <w:rFonts w:hint="eastAsia" w:ascii="宋体" w:hAnsi="宋体" w:eastAsia="宋体" w:cs="宋体"/>
                <w:sz w:val="22"/>
                <w:szCs w:val="22"/>
                <w:lang w:eastAsia="zh-CN"/>
              </w:rPr>
            </w:pPr>
            <w:r>
              <w:rPr>
                <w:rFonts w:hint="eastAsia" w:ascii="宋体" w:hAnsi="宋体" w:cs="宋体"/>
                <w:szCs w:val="21"/>
                <w:lang w:val="en-US" w:eastAsia="zh-CN"/>
              </w:rPr>
              <w:t>3</w:t>
            </w:r>
          </w:p>
        </w:tc>
        <w:tc>
          <w:tcPr>
            <w:tcW w:w="485"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eastAsia" w:ascii="宋体" w:hAnsi="宋体" w:eastAsia="宋体" w:cs="宋体"/>
                <w:color w:val="auto"/>
                <w:szCs w:val="21"/>
                <w:lang w:val="en-US" w:eastAsia="zh-CN"/>
              </w:rPr>
            </w:pPr>
            <w:r>
              <w:rPr>
                <w:rFonts w:hint="eastAsia" w:ascii="宋体" w:hAnsi="宋体" w:cs="仿宋"/>
                <w:color w:val="000000"/>
                <w:szCs w:val="21"/>
                <w:lang w:eastAsia="zh-CN"/>
              </w:rPr>
              <w:t>拟</w:t>
            </w:r>
            <w:r>
              <w:rPr>
                <w:rFonts w:hint="eastAsia" w:ascii="宋体" w:hAnsi="宋体" w:cs="仿宋"/>
                <w:color w:val="000000"/>
                <w:szCs w:val="21"/>
              </w:rPr>
              <w:t>投入</w:t>
            </w:r>
            <w:r>
              <w:rPr>
                <w:rFonts w:hint="eastAsia" w:ascii="宋体" w:hAnsi="宋体" w:cs="仿宋"/>
                <w:color w:val="000000"/>
                <w:szCs w:val="21"/>
                <w:lang w:eastAsia="zh-CN"/>
              </w:rPr>
              <w:t>本项目拍摄制作的设备及专业团队</w:t>
            </w:r>
            <w:bookmarkStart w:id="0" w:name="_GoBack"/>
            <w:bookmarkEnd w:id="0"/>
            <w:r>
              <w:rPr>
                <w:rFonts w:hint="eastAsia" w:ascii="宋体" w:hAnsi="宋体" w:cs="仿宋"/>
                <w:color w:val="000000"/>
                <w:szCs w:val="21"/>
              </w:rPr>
              <w:t>情况</w:t>
            </w:r>
            <w:r>
              <w:rPr>
                <w:rFonts w:hint="eastAsia" w:ascii="宋体" w:hAnsi="宋体" w:cs="仿宋"/>
                <w:color w:val="000000"/>
                <w:szCs w:val="21"/>
                <w:lang w:eastAsia="zh-CN"/>
              </w:rPr>
              <w:t>（</w:t>
            </w:r>
            <w:r>
              <w:rPr>
                <w:rFonts w:hint="eastAsia" w:ascii="宋体" w:hAnsi="宋体" w:cs="仿宋"/>
                <w:color w:val="000000"/>
                <w:szCs w:val="21"/>
                <w:lang w:val="en-US" w:eastAsia="zh-CN"/>
              </w:rPr>
              <w:t>15</w:t>
            </w:r>
            <w:r>
              <w:rPr>
                <w:rFonts w:hint="eastAsia" w:ascii="宋体" w:hAnsi="宋体" w:cs="宋体"/>
                <w:szCs w:val="21"/>
                <w:lang w:val="en-US" w:eastAsia="zh-CN"/>
              </w:rPr>
              <w:t>分</w:t>
            </w:r>
            <w:r>
              <w:rPr>
                <w:rFonts w:hint="eastAsia" w:ascii="宋体" w:hAnsi="宋体" w:cs="仿宋"/>
                <w:color w:val="000000"/>
                <w:szCs w:val="21"/>
                <w:lang w:eastAsia="zh-CN"/>
              </w:rPr>
              <w:t>）</w:t>
            </w:r>
          </w:p>
        </w:tc>
        <w:tc>
          <w:tcPr>
            <w:tcW w:w="3181" w:type="pct"/>
            <w:noWrap w:val="0"/>
            <w:vAlign w:val="center"/>
          </w:tcPr>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根据申请单位拟投入本项目拍摄制作的设备（如拍摄制作的机器、工具、设备等）的先进性，视频拍摄制作团队的专业性等情况进行综合评审：</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1.拟投入的设备充足，先进齐全，可靠崭新，参与现场拍摄及后期制作的团队人员综合服务能力强，得10-15分；</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2.拟投入的设备能满足用户需求，基本齐全，较可靠崭新，参与现场拍摄及后期制作的团队人员综合服务能力良好，得6-10分；</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3.拟投入的设备基本能满足用户需求，部分可靠崭新，参与现场拍摄及后期制作的团队人员综合服务能力一般，得2-5分；</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4.拟投入的设备不齐全，比较老旧，参与现场拍摄及后期制作的团队人员综合服务能力差，得0-1分；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lang w:val="zh-CN" w:eastAsia="zh-CN" w:bidi="ar-SA"/>
              </w:rPr>
            </w:pPr>
            <w:r>
              <w:rPr>
                <w:rFonts w:hint="eastAsia" w:asciiTheme="minorEastAsia" w:hAnsiTheme="minorEastAsia" w:eastAsiaTheme="minorEastAsia" w:cstheme="minorEastAsia"/>
                <w:kern w:val="2"/>
                <w:sz w:val="21"/>
                <w:szCs w:val="22"/>
                <w:lang w:val="en-US" w:eastAsia="zh-CN" w:bidi="ar-SA"/>
              </w:rPr>
              <w:t>5.其他或不提供不得分。</w:t>
            </w:r>
          </w:p>
        </w:tc>
        <w:tc>
          <w:tcPr>
            <w:tcW w:w="396" w:type="pct"/>
            <w:noWrap w:val="0"/>
            <w:vAlign w:val="center"/>
          </w:tcPr>
          <w:p>
            <w:pPr>
              <w:jc w:val="center"/>
              <w:rPr>
                <w:rFonts w:hint="eastAsia" w:ascii="宋体" w:hAnsi="宋体" w:eastAsia="宋体" w:cs="宋体"/>
                <w:sz w:val="18"/>
                <w:szCs w:val="18"/>
              </w:rPr>
            </w:pPr>
          </w:p>
        </w:tc>
        <w:tc>
          <w:tcPr>
            <w:tcW w:w="375" w:type="pct"/>
            <w:noWrap w:val="0"/>
            <w:vAlign w:val="center"/>
          </w:tcPr>
          <w:p>
            <w:pPr>
              <w:jc w:val="center"/>
              <w:rPr>
                <w:rFonts w:hint="eastAsia" w:ascii="宋体" w:hAnsi="宋体" w:eastAsia="宋体" w:cs="宋体"/>
                <w:sz w:val="18"/>
                <w:szCs w:val="18"/>
              </w:rPr>
            </w:pPr>
          </w:p>
        </w:tc>
        <w:tc>
          <w:tcPr>
            <w:tcW w:w="400" w:type="pct"/>
            <w:noWrap w:val="0"/>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1534" w:hRule="atLeast"/>
          <w:tblHeader/>
        </w:trPr>
        <w:tc>
          <w:tcPr>
            <w:tcW w:w="161" w:type="pct"/>
            <w:noWrap w:val="0"/>
            <w:vAlign w:val="center"/>
          </w:tcPr>
          <w:p>
            <w:pPr>
              <w:ind w:left="42" w:leftChars="20" w:right="42" w:rightChars="20"/>
              <w:jc w:val="center"/>
              <w:rPr>
                <w:rFonts w:hint="eastAsia" w:ascii="宋体" w:hAnsi="宋体" w:eastAsia="宋体" w:cs="宋体"/>
                <w:sz w:val="22"/>
                <w:szCs w:val="22"/>
                <w:lang w:val="en-US" w:eastAsia="zh-CN"/>
              </w:rPr>
            </w:pPr>
            <w:r>
              <w:rPr>
                <w:rFonts w:hint="eastAsia" w:ascii="宋体" w:hAnsi="宋体" w:cs="宋体"/>
                <w:szCs w:val="21"/>
                <w:lang w:val="en-US" w:eastAsia="zh-CN"/>
              </w:rPr>
              <w:t>4</w:t>
            </w:r>
          </w:p>
        </w:tc>
        <w:tc>
          <w:tcPr>
            <w:tcW w:w="485" w:type="pct"/>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服务需求</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Cs w:val="21"/>
              </w:rPr>
              <w:t>响应计划</w:t>
            </w:r>
            <w:r>
              <w:rPr>
                <w:rFonts w:hint="eastAsia" w:ascii="宋体" w:hAnsi="宋体" w:cs="宋体"/>
                <w:color w:val="auto"/>
                <w:kern w:val="2"/>
                <w:szCs w:val="21"/>
                <w:lang w:eastAsia="zh-CN"/>
              </w:rPr>
              <w:t>（</w:t>
            </w:r>
            <w:r>
              <w:rPr>
                <w:rFonts w:hint="eastAsia" w:ascii="宋体" w:hAnsi="宋体" w:cs="宋体"/>
                <w:color w:val="auto"/>
                <w:kern w:val="2"/>
                <w:szCs w:val="21"/>
                <w:lang w:val="en-US" w:eastAsia="zh-CN"/>
              </w:rPr>
              <w:t>10</w:t>
            </w:r>
            <w:r>
              <w:rPr>
                <w:rFonts w:hint="eastAsia" w:ascii="宋体" w:hAnsi="宋体" w:cs="宋体"/>
                <w:szCs w:val="21"/>
                <w:lang w:val="en-US" w:eastAsia="zh-CN"/>
              </w:rPr>
              <w:t>分</w:t>
            </w:r>
            <w:r>
              <w:rPr>
                <w:rFonts w:hint="eastAsia" w:ascii="宋体" w:hAnsi="宋体" w:cs="宋体"/>
                <w:color w:val="auto"/>
                <w:kern w:val="2"/>
                <w:szCs w:val="21"/>
                <w:lang w:eastAsia="zh-CN"/>
              </w:rPr>
              <w:t>）</w:t>
            </w:r>
          </w:p>
        </w:tc>
        <w:tc>
          <w:tcPr>
            <w:tcW w:w="3181" w:type="pct"/>
            <w:noWrap w:val="0"/>
            <w:vAlign w:val="center"/>
          </w:tcPr>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服务需求响应计划包括但不限于平常服务及应急服务的响应计划：</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 xml:space="preserve">1.响应时间快，响应服务计划安排周密、详实，各岗位人员职责安排妥当，得6-10分； </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2.响应时间较快，响应服务计划安排较周密、较详实，各岗位人员职责安排较妥当，得2-5分；</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3.响应时间慢，响应服务计划不够完善，各岗位人员职责安排不够妥当，得0-1分。</w:t>
            </w:r>
          </w:p>
          <w:p>
            <w:pPr>
              <w:pStyle w:val="9"/>
              <w:snapToGrid w:val="0"/>
              <w:spacing w:line="240" w:lineRule="auto"/>
              <w:ind w:firstLine="0" w:firstLineChars="0"/>
              <w:rPr>
                <w:rFonts w:hint="eastAsia" w:ascii="宋体" w:hAnsi="宋体" w:eastAsia="宋体" w:cs="宋体"/>
                <w:color w:val="auto"/>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4.无提供不得分。</w:t>
            </w:r>
          </w:p>
        </w:tc>
        <w:tc>
          <w:tcPr>
            <w:tcW w:w="396" w:type="pct"/>
            <w:noWrap w:val="0"/>
            <w:vAlign w:val="center"/>
          </w:tcPr>
          <w:p>
            <w:pPr>
              <w:jc w:val="center"/>
              <w:rPr>
                <w:rFonts w:hint="eastAsia" w:ascii="宋体" w:hAnsi="宋体" w:eastAsia="宋体" w:cs="宋体"/>
                <w:sz w:val="18"/>
                <w:szCs w:val="18"/>
              </w:rPr>
            </w:pPr>
          </w:p>
        </w:tc>
        <w:tc>
          <w:tcPr>
            <w:tcW w:w="375" w:type="pct"/>
            <w:noWrap w:val="0"/>
            <w:vAlign w:val="center"/>
          </w:tcPr>
          <w:p>
            <w:pPr>
              <w:jc w:val="center"/>
              <w:rPr>
                <w:rFonts w:hint="eastAsia" w:ascii="宋体" w:hAnsi="宋体" w:eastAsia="宋体" w:cs="宋体"/>
                <w:sz w:val="18"/>
                <w:szCs w:val="18"/>
              </w:rPr>
            </w:pPr>
          </w:p>
        </w:tc>
        <w:tc>
          <w:tcPr>
            <w:tcW w:w="400" w:type="pct"/>
            <w:noWrap w:val="0"/>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798" w:hRule="atLeast"/>
          <w:tblHeader/>
        </w:trPr>
        <w:tc>
          <w:tcPr>
            <w:tcW w:w="161" w:type="pct"/>
            <w:noWrap w:val="0"/>
            <w:vAlign w:val="center"/>
          </w:tcPr>
          <w:p>
            <w:pPr>
              <w:ind w:left="42" w:leftChars="20" w:right="42" w:rightChars="20"/>
              <w:jc w:val="center"/>
              <w:rPr>
                <w:rFonts w:hint="eastAsia" w:ascii="宋体" w:hAnsi="宋体" w:eastAsia="宋体" w:cs="宋体"/>
                <w:sz w:val="22"/>
                <w:szCs w:val="22"/>
                <w:lang w:val="en-US" w:eastAsia="zh-CN"/>
              </w:rPr>
            </w:pPr>
            <w:r>
              <w:rPr>
                <w:rFonts w:hint="eastAsia" w:ascii="宋体" w:hAnsi="宋体" w:cs="宋体"/>
                <w:szCs w:val="21"/>
                <w:lang w:val="en-US" w:eastAsia="zh-CN"/>
              </w:rPr>
              <w:t>5</w:t>
            </w:r>
          </w:p>
        </w:tc>
        <w:tc>
          <w:tcPr>
            <w:tcW w:w="485" w:type="pct"/>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kern w:val="2"/>
                <w:szCs w:val="21"/>
                <w:lang w:eastAsia="zh-CN"/>
              </w:rPr>
            </w:pPr>
            <w:r>
              <w:rPr>
                <w:rFonts w:hint="eastAsia" w:ascii="宋体" w:hAnsi="宋体" w:cs="宋体"/>
                <w:color w:val="auto"/>
                <w:kern w:val="2"/>
                <w:szCs w:val="21"/>
                <w:lang w:eastAsia="zh-CN"/>
              </w:rPr>
              <w:t>项目服务</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kern w:val="2"/>
                <w:szCs w:val="21"/>
                <w:lang w:eastAsia="zh-CN"/>
              </w:rPr>
            </w:pPr>
            <w:r>
              <w:rPr>
                <w:rFonts w:hint="eastAsia" w:ascii="宋体" w:hAnsi="宋体" w:cs="宋体"/>
                <w:color w:val="auto"/>
                <w:kern w:val="2"/>
                <w:szCs w:val="21"/>
                <w:lang w:eastAsia="zh-CN"/>
              </w:rPr>
              <w:t>计划</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rPr>
            </w:pPr>
            <w:r>
              <w:rPr>
                <w:rFonts w:hint="eastAsia" w:ascii="宋体" w:hAnsi="宋体" w:cs="宋体"/>
                <w:color w:val="auto"/>
                <w:kern w:val="2"/>
                <w:szCs w:val="21"/>
                <w:lang w:eastAsia="zh-CN"/>
              </w:rPr>
              <w:t>（</w:t>
            </w:r>
            <w:r>
              <w:rPr>
                <w:rFonts w:hint="eastAsia" w:ascii="宋体" w:hAnsi="宋体" w:cs="宋体"/>
                <w:color w:val="auto"/>
                <w:kern w:val="2"/>
                <w:szCs w:val="21"/>
                <w:lang w:val="en-US" w:eastAsia="zh-CN"/>
              </w:rPr>
              <w:t>10</w:t>
            </w:r>
            <w:r>
              <w:rPr>
                <w:rFonts w:hint="eastAsia" w:ascii="宋体" w:hAnsi="宋体" w:cs="宋体"/>
                <w:szCs w:val="21"/>
                <w:lang w:val="en-US" w:eastAsia="zh-CN"/>
              </w:rPr>
              <w:t>分</w:t>
            </w:r>
            <w:r>
              <w:rPr>
                <w:rFonts w:hint="eastAsia" w:ascii="宋体" w:hAnsi="宋体" w:cs="宋体"/>
                <w:color w:val="auto"/>
                <w:kern w:val="2"/>
                <w:szCs w:val="21"/>
                <w:lang w:eastAsia="zh-CN"/>
              </w:rPr>
              <w:t>）</w:t>
            </w:r>
          </w:p>
        </w:tc>
        <w:tc>
          <w:tcPr>
            <w:tcW w:w="3181" w:type="pct"/>
            <w:noWrap w:val="0"/>
            <w:vAlign w:val="center"/>
          </w:tcPr>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根据申请单位的制作团队、人员投入、制定脚本、拍摄短片、后期制作剪辑、成果提交的整个服务计划描述情况进行综合评审：</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1.项目服务计划科学完整，有合理的进度安排，人员投入充足，人员项目经验丰富，可行性强，得6-10分；</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2.项目服务计划基本完整，有合理的进度安排，人员投入满足项目实施要求，人员具有一定的项目经验，可行性一般，得2-5分；</w:t>
            </w:r>
          </w:p>
          <w:p>
            <w:pPr>
              <w:pStyle w:val="9"/>
              <w:snapToGrid w:val="0"/>
              <w:spacing w:line="240" w:lineRule="auto"/>
              <w:ind w:firstLine="0" w:firstLineChars="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3.项目服务计划简单，有基本的进度安排，人员投入一般，人员无相应的项目经验，可行性差，得0-1分；</w:t>
            </w:r>
          </w:p>
          <w:p>
            <w:pPr>
              <w:pStyle w:val="9"/>
              <w:snapToGrid w:val="0"/>
              <w:spacing w:line="240" w:lineRule="auto"/>
              <w:ind w:firstLine="0" w:firstLineChars="0"/>
              <w:rPr>
                <w:rFonts w:hint="eastAsia" w:ascii="宋体" w:hAnsi="宋体" w:eastAsia="宋体" w:cs="宋体"/>
                <w:color w:val="auto"/>
                <w:kern w:val="2"/>
                <w:sz w:val="21"/>
                <w:szCs w:val="21"/>
              </w:rPr>
            </w:pPr>
            <w:r>
              <w:rPr>
                <w:rFonts w:hint="eastAsia" w:asciiTheme="minorEastAsia" w:hAnsiTheme="minorEastAsia" w:eastAsiaTheme="minorEastAsia" w:cstheme="minorEastAsia"/>
                <w:kern w:val="2"/>
                <w:sz w:val="21"/>
                <w:szCs w:val="22"/>
                <w:lang w:val="en-US" w:eastAsia="zh-CN" w:bidi="ar-SA"/>
              </w:rPr>
              <w:t>4.无提供不得分。</w:t>
            </w:r>
          </w:p>
        </w:tc>
        <w:tc>
          <w:tcPr>
            <w:tcW w:w="396" w:type="pct"/>
            <w:noWrap w:val="0"/>
            <w:vAlign w:val="center"/>
          </w:tcPr>
          <w:p>
            <w:pPr>
              <w:jc w:val="center"/>
              <w:rPr>
                <w:rFonts w:hint="eastAsia" w:ascii="宋体" w:hAnsi="宋体" w:eastAsia="宋体" w:cs="宋体"/>
                <w:sz w:val="18"/>
                <w:szCs w:val="18"/>
              </w:rPr>
            </w:pPr>
          </w:p>
        </w:tc>
        <w:tc>
          <w:tcPr>
            <w:tcW w:w="375" w:type="pct"/>
            <w:noWrap w:val="0"/>
            <w:vAlign w:val="center"/>
          </w:tcPr>
          <w:p>
            <w:pPr>
              <w:jc w:val="center"/>
              <w:rPr>
                <w:rFonts w:hint="eastAsia" w:ascii="宋体" w:hAnsi="宋体" w:eastAsia="宋体" w:cs="宋体"/>
                <w:sz w:val="18"/>
                <w:szCs w:val="18"/>
              </w:rPr>
            </w:pPr>
          </w:p>
        </w:tc>
        <w:tc>
          <w:tcPr>
            <w:tcW w:w="400" w:type="pct"/>
            <w:noWrap w:val="0"/>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01" w:hRule="atLeast"/>
          <w:tblHeader/>
        </w:trPr>
        <w:tc>
          <w:tcPr>
            <w:tcW w:w="646" w:type="pct"/>
            <w:gridSpan w:val="2"/>
            <w:noWrap w:val="0"/>
            <w:vAlign w:val="center"/>
          </w:tcPr>
          <w:p>
            <w:pPr>
              <w:spacing w:line="280" w:lineRule="exact"/>
              <w:jc w:val="center"/>
              <w:rPr>
                <w:rFonts w:hint="eastAsia" w:ascii="宋体" w:hAnsi="宋体" w:cs="宋体"/>
                <w:color w:val="auto"/>
                <w:kern w:val="2"/>
                <w:szCs w:val="21"/>
                <w:lang w:eastAsia="zh-CN"/>
              </w:rPr>
            </w:pPr>
            <w:r>
              <w:rPr>
                <w:rFonts w:hint="eastAsia" w:ascii="宋体" w:hAnsi="宋体" w:eastAsia="宋体" w:cs="宋体"/>
                <w:sz w:val="22"/>
                <w:szCs w:val="22"/>
                <w:lang w:val="en-US" w:eastAsia="zh-CN"/>
              </w:rPr>
              <w:t>合计</w:t>
            </w:r>
          </w:p>
        </w:tc>
        <w:tc>
          <w:tcPr>
            <w:tcW w:w="3181" w:type="pct"/>
            <w:noWrap w:val="0"/>
            <w:vAlign w:val="center"/>
          </w:tcPr>
          <w:p>
            <w:pPr>
              <w:spacing w:line="280" w:lineRule="exact"/>
              <w:jc w:val="center"/>
              <w:rPr>
                <w:rFonts w:hint="eastAsia" w:asciiTheme="minorEastAsia" w:hAnsiTheme="minorEastAsia" w:eastAsiaTheme="minorEastAsia" w:cstheme="minorEastAsia"/>
                <w:kern w:val="2"/>
                <w:sz w:val="21"/>
                <w:szCs w:val="22"/>
                <w:lang w:val="en-US" w:eastAsia="zh-CN" w:bidi="ar-SA"/>
              </w:rPr>
            </w:pPr>
            <w:r>
              <w:rPr>
                <w:rFonts w:hint="eastAsia" w:ascii="宋体" w:hAnsi="宋体" w:cs="宋体"/>
                <w:sz w:val="22"/>
                <w:szCs w:val="22"/>
                <w:lang w:val="en-US" w:eastAsia="zh-CN"/>
              </w:rPr>
              <w:t>80</w:t>
            </w:r>
            <w:r>
              <w:rPr>
                <w:rFonts w:hint="eastAsia" w:ascii="宋体" w:hAnsi="宋体" w:eastAsia="宋体" w:cs="宋体"/>
                <w:sz w:val="22"/>
                <w:szCs w:val="22"/>
                <w:lang w:val="en-US" w:eastAsia="zh-CN"/>
              </w:rPr>
              <w:t>分</w:t>
            </w:r>
          </w:p>
        </w:tc>
        <w:tc>
          <w:tcPr>
            <w:tcW w:w="396" w:type="pct"/>
            <w:noWrap w:val="0"/>
            <w:vAlign w:val="center"/>
          </w:tcPr>
          <w:p>
            <w:pPr>
              <w:jc w:val="center"/>
              <w:rPr>
                <w:rFonts w:hint="eastAsia" w:ascii="宋体" w:hAnsi="宋体" w:eastAsia="宋体" w:cs="宋体"/>
                <w:sz w:val="18"/>
                <w:szCs w:val="18"/>
              </w:rPr>
            </w:pPr>
          </w:p>
        </w:tc>
        <w:tc>
          <w:tcPr>
            <w:tcW w:w="375" w:type="pct"/>
            <w:noWrap w:val="0"/>
            <w:vAlign w:val="center"/>
          </w:tcPr>
          <w:p>
            <w:pPr>
              <w:jc w:val="center"/>
              <w:rPr>
                <w:rFonts w:hint="eastAsia" w:ascii="宋体" w:hAnsi="宋体" w:eastAsia="宋体" w:cs="宋体"/>
                <w:sz w:val="18"/>
                <w:szCs w:val="18"/>
              </w:rPr>
            </w:pPr>
          </w:p>
        </w:tc>
        <w:tc>
          <w:tcPr>
            <w:tcW w:w="400" w:type="pct"/>
            <w:noWrap w:val="0"/>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86" w:hRule="atLeast"/>
          <w:tblHeader/>
        </w:trPr>
        <w:tc>
          <w:tcPr>
            <w:tcW w:w="5000" w:type="pct"/>
            <w:gridSpan w:val="6"/>
            <w:noWrap w:val="0"/>
            <w:vAlign w:val="center"/>
          </w:tcPr>
          <w:p>
            <w:pPr>
              <w:jc w:val="center"/>
              <w:rPr>
                <w:rFonts w:hint="eastAsia" w:ascii="宋体" w:hAnsi="宋体" w:eastAsia="宋体" w:cs="宋体"/>
                <w:sz w:val="18"/>
                <w:szCs w:val="18"/>
              </w:rPr>
            </w:pPr>
            <w:r>
              <w:rPr>
                <w:rFonts w:hint="eastAsia" w:ascii="宋体" w:hAnsi="宋体" w:cs="宋体"/>
                <w:b/>
                <w:bCs/>
                <w:color w:val="000000"/>
                <w:sz w:val="22"/>
                <w:szCs w:val="22"/>
                <w:lang w:val="en-US" w:eastAsia="zh-CN"/>
              </w:rPr>
              <w:t>价格评价（20分）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417" w:hRule="atLeast"/>
          <w:tblHeader/>
        </w:trPr>
        <w:tc>
          <w:tcPr>
            <w:tcW w:w="161" w:type="pct"/>
            <w:vMerge w:val="restart"/>
            <w:noWrap w:val="0"/>
            <w:vAlign w:val="center"/>
          </w:tcPr>
          <w:p>
            <w:pPr>
              <w:spacing w:beforeLines="0" w:line="400" w:lineRule="exact"/>
              <w:jc w:val="center"/>
              <w:rPr>
                <w:rFonts w:hint="eastAsia" w:ascii="宋体" w:hAnsi="宋体" w:cs="宋体"/>
                <w:szCs w:val="21"/>
                <w:lang w:val="en-US" w:eastAsia="zh-CN"/>
              </w:rPr>
            </w:pPr>
            <w:r>
              <w:rPr>
                <w:rFonts w:hint="eastAsia" w:ascii="宋体" w:hAnsi="宋体" w:eastAsia="宋体" w:cs="宋体"/>
                <w:b/>
                <w:bCs/>
                <w:color w:val="000000"/>
                <w:sz w:val="22"/>
                <w:szCs w:val="22"/>
              </w:rPr>
              <w:t>序号</w:t>
            </w:r>
          </w:p>
        </w:tc>
        <w:tc>
          <w:tcPr>
            <w:tcW w:w="485" w:type="pct"/>
            <w:vMerge w:val="restart"/>
            <w:noWrap w:val="0"/>
            <w:vAlign w:val="center"/>
          </w:tcPr>
          <w:p>
            <w:pPr>
              <w:spacing w:beforeLines="0" w:line="400" w:lineRule="exact"/>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评审</w:t>
            </w:r>
          </w:p>
          <w:p>
            <w:pPr>
              <w:spacing w:beforeLines="0" w:line="400" w:lineRule="exact"/>
              <w:jc w:val="center"/>
              <w:rPr>
                <w:rFonts w:hint="eastAsia" w:ascii="宋体" w:hAnsi="宋体" w:cs="宋体"/>
                <w:color w:val="auto"/>
                <w:kern w:val="2"/>
                <w:szCs w:val="21"/>
                <w:lang w:eastAsia="zh-CN"/>
              </w:rPr>
            </w:pPr>
            <w:r>
              <w:rPr>
                <w:rFonts w:hint="eastAsia" w:ascii="宋体" w:hAnsi="宋体" w:eastAsia="宋体" w:cs="宋体"/>
                <w:b/>
                <w:bCs/>
                <w:color w:val="000000"/>
                <w:sz w:val="22"/>
                <w:szCs w:val="22"/>
              </w:rPr>
              <w:t>内容</w:t>
            </w:r>
          </w:p>
        </w:tc>
        <w:tc>
          <w:tcPr>
            <w:tcW w:w="3181" w:type="pct"/>
            <w:vMerge w:val="restart"/>
            <w:noWrap w:val="0"/>
            <w:vAlign w:val="center"/>
          </w:tcPr>
          <w:p>
            <w:pPr>
              <w:spacing w:beforeLines="0" w:line="400" w:lineRule="exact"/>
              <w:jc w:val="center"/>
              <w:rPr>
                <w:rFonts w:hint="eastAsia" w:asciiTheme="minorEastAsia" w:hAnsiTheme="minorEastAsia" w:eastAsiaTheme="minorEastAsia" w:cstheme="minorEastAsia"/>
                <w:kern w:val="2"/>
                <w:sz w:val="21"/>
                <w:szCs w:val="22"/>
                <w:lang w:val="en-US" w:eastAsia="zh-CN" w:bidi="ar-SA"/>
              </w:rPr>
            </w:pPr>
            <w:r>
              <w:rPr>
                <w:rFonts w:hint="eastAsia" w:ascii="宋体" w:hAnsi="宋体" w:eastAsia="宋体" w:cs="宋体"/>
                <w:b/>
                <w:bCs/>
                <w:color w:val="000000"/>
                <w:sz w:val="22"/>
                <w:szCs w:val="22"/>
              </w:rPr>
              <w:t>评审标准</w:t>
            </w:r>
          </w:p>
        </w:tc>
        <w:tc>
          <w:tcPr>
            <w:tcW w:w="1171" w:type="pct"/>
            <w:gridSpan w:val="3"/>
            <w:noWrap w:val="0"/>
            <w:vAlign w:val="center"/>
          </w:tcPr>
          <w:p>
            <w:pPr>
              <w:spacing w:beforeLines="0" w:line="400" w:lineRule="exact"/>
              <w:jc w:val="center"/>
              <w:rPr>
                <w:rFonts w:hint="eastAsia" w:ascii="宋体" w:hAnsi="宋体" w:eastAsia="宋体" w:cs="宋体"/>
                <w:sz w:val="18"/>
                <w:szCs w:val="18"/>
              </w:rPr>
            </w:pPr>
            <w:r>
              <w:rPr>
                <w:rFonts w:hint="eastAsia" w:ascii="宋体" w:hAnsi="宋体" w:eastAsia="宋体" w:cs="宋体"/>
                <w:b/>
                <w:bCs/>
                <w:color w:val="000000"/>
                <w:sz w:val="22"/>
                <w:szCs w:val="22"/>
                <w:lang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640" w:hRule="atLeast"/>
          <w:tblHeader/>
        </w:trPr>
        <w:tc>
          <w:tcPr>
            <w:tcW w:w="161" w:type="pct"/>
            <w:vMerge w:val="continue"/>
            <w:noWrap w:val="0"/>
            <w:vAlign w:val="center"/>
          </w:tcPr>
          <w:p>
            <w:pPr>
              <w:jc w:val="center"/>
            </w:pPr>
          </w:p>
        </w:tc>
        <w:tc>
          <w:tcPr>
            <w:tcW w:w="485" w:type="pct"/>
            <w:vMerge w:val="continue"/>
            <w:noWrap w:val="0"/>
            <w:vAlign w:val="center"/>
          </w:tcPr>
          <w:p>
            <w:pPr>
              <w:jc w:val="center"/>
            </w:pPr>
          </w:p>
        </w:tc>
        <w:tc>
          <w:tcPr>
            <w:tcW w:w="3181" w:type="pct"/>
            <w:vMerge w:val="continue"/>
            <w:noWrap w:val="0"/>
            <w:vAlign w:val="center"/>
          </w:tcPr>
          <w:p>
            <w:pPr>
              <w:jc w:val="center"/>
            </w:pPr>
          </w:p>
        </w:tc>
        <w:tc>
          <w:tcPr>
            <w:tcW w:w="396" w:type="pct"/>
            <w:noWrap w:val="0"/>
            <w:vAlign w:val="center"/>
          </w:tcPr>
          <w:p>
            <w:pPr>
              <w:widowControl/>
              <w:spacing w:line="240" w:lineRule="exact"/>
              <w:ind w:firstLine="0" w:firstLineChars="0"/>
              <w:jc w:val="center"/>
              <w:rPr>
                <w:rFonts w:hint="eastAsia" w:ascii="宋体" w:hAnsi="宋体" w:cs="宋体"/>
                <w:b w:val="0"/>
                <w:bCs w:val="0"/>
                <w:color w:val="000000"/>
                <w:sz w:val="22"/>
                <w:lang w:val="en-US" w:eastAsia="zh-CN"/>
              </w:rPr>
            </w:pPr>
            <w:r>
              <w:rPr>
                <w:rFonts w:hint="eastAsia" w:ascii="仿宋_GB2312" w:hAnsi="宋体" w:eastAsia="宋体" w:cs="Times New Roman"/>
                <w:kern w:val="2"/>
                <w:sz w:val="21"/>
                <w:szCs w:val="32"/>
                <w:lang w:val="en-US" w:eastAsia="zh-CN" w:bidi="ar-SA"/>
              </w:rPr>
              <w:t>单位1</w:t>
            </w:r>
          </w:p>
        </w:tc>
        <w:tc>
          <w:tcPr>
            <w:tcW w:w="375" w:type="pct"/>
            <w:noWrap w:val="0"/>
            <w:vAlign w:val="center"/>
          </w:tcPr>
          <w:p>
            <w:pPr>
              <w:widowControl/>
              <w:spacing w:line="240" w:lineRule="exact"/>
              <w:ind w:firstLine="0" w:firstLineChars="0"/>
              <w:jc w:val="center"/>
              <w:rPr>
                <w:rFonts w:hint="eastAsia" w:ascii="宋体" w:hAnsi="宋体" w:cs="宋体"/>
                <w:b w:val="0"/>
                <w:bCs w:val="0"/>
                <w:color w:val="000000"/>
                <w:sz w:val="22"/>
                <w:lang w:val="en-US" w:eastAsia="zh-CN"/>
              </w:rPr>
            </w:pPr>
            <w:r>
              <w:rPr>
                <w:rFonts w:hint="eastAsia" w:ascii="仿宋_GB2312" w:hAnsi="宋体" w:eastAsia="宋体" w:cs="Times New Roman"/>
                <w:kern w:val="2"/>
                <w:sz w:val="21"/>
                <w:szCs w:val="32"/>
                <w:lang w:val="en-US" w:eastAsia="zh-CN" w:bidi="ar-SA"/>
              </w:rPr>
              <w:t>单位2</w:t>
            </w:r>
          </w:p>
        </w:tc>
        <w:tc>
          <w:tcPr>
            <w:tcW w:w="400" w:type="pct"/>
            <w:noWrap w:val="0"/>
            <w:vAlign w:val="center"/>
          </w:tcPr>
          <w:p>
            <w:pPr>
              <w:widowControl/>
              <w:spacing w:line="240" w:lineRule="exact"/>
              <w:ind w:firstLine="0" w:firstLineChars="0"/>
              <w:jc w:val="center"/>
              <w:rPr>
                <w:rFonts w:hint="eastAsia" w:ascii="宋体" w:hAnsi="宋体" w:cs="宋体"/>
                <w:b w:val="0"/>
                <w:bCs w:val="0"/>
                <w:color w:val="000000"/>
                <w:sz w:val="22"/>
                <w:lang w:val="en-US" w:eastAsia="zh-CN"/>
              </w:rPr>
            </w:pPr>
            <w:r>
              <w:rPr>
                <w:rFonts w:hint="eastAsia" w:ascii="仿宋_GB2312" w:hAnsi="宋体" w:eastAsia="宋体" w:cs="Times New Roman"/>
                <w:kern w:val="2"/>
                <w:sz w:val="21"/>
                <w:szCs w:val="32"/>
                <w:lang w:val="en-US" w:eastAsia="zh-CN" w:bidi="ar-SA"/>
              </w:rPr>
              <w:t>单位3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865" w:hRule="atLeast"/>
          <w:tblHeader/>
        </w:trPr>
        <w:tc>
          <w:tcPr>
            <w:tcW w:w="1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48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服务</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价格</w:t>
            </w:r>
            <w:r>
              <w:rPr>
                <w:rFonts w:hint="eastAsia" w:ascii="宋体" w:hAnsi="宋体" w:cs="宋体"/>
                <w:sz w:val="21"/>
                <w:szCs w:val="21"/>
                <w:lang w:eastAsia="zh-CN"/>
              </w:rPr>
              <w:t>（</w:t>
            </w:r>
            <w:r>
              <w:rPr>
                <w:rFonts w:hint="eastAsia" w:ascii="宋体" w:hAnsi="宋体" w:cs="宋体"/>
                <w:sz w:val="21"/>
                <w:szCs w:val="21"/>
                <w:lang w:val="en-US" w:eastAsia="zh-CN"/>
              </w:rPr>
              <w:t>20分）</w:t>
            </w:r>
          </w:p>
        </w:tc>
        <w:tc>
          <w:tcPr>
            <w:tcW w:w="3181" w:type="pct"/>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价格分统一采用低价优先法计算，即满足公告文件要求（通过资格性审查和符合性审查）且价格最低的报价为评审基准价，其价格分为满分。其他申请供应商的价格分统一按照下列公式计算：</w:t>
            </w:r>
          </w:p>
          <w:p>
            <w:pPr>
              <w:keepNext w:val="0"/>
              <w:keepLines w:val="0"/>
              <w:pageBreakBefore w:val="0"/>
              <w:kinsoku/>
              <w:wordWrap/>
              <w:overflowPunct/>
              <w:topLinePunct w:val="0"/>
              <w:autoSpaceDE/>
              <w:autoSpaceDN/>
              <w:bidi w:val="0"/>
              <w:adjustRightInd/>
              <w:snapToGrid/>
              <w:spacing w:line="280" w:lineRule="exact"/>
              <w:ind w:firstLine="843" w:firstLineChars="4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评分=（评审基准价／报价）×价格权重×100。</w:t>
            </w:r>
          </w:p>
        </w:tc>
        <w:tc>
          <w:tcPr>
            <w:tcW w:w="396" w:type="pct"/>
            <w:noWrap w:val="0"/>
            <w:vAlign w:val="center"/>
          </w:tcPr>
          <w:p>
            <w:pPr>
              <w:jc w:val="center"/>
              <w:rPr>
                <w:rFonts w:hint="eastAsia" w:ascii="宋体" w:hAnsi="宋体" w:eastAsia="宋体" w:cs="宋体"/>
                <w:kern w:val="2"/>
                <w:sz w:val="18"/>
                <w:szCs w:val="18"/>
                <w:lang w:val="en-US" w:eastAsia="zh-CN" w:bidi="ar-SA"/>
              </w:rPr>
            </w:pPr>
          </w:p>
        </w:tc>
        <w:tc>
          <w:tcPr>
            <w:tcW w:w="375" w:type="pct"/>
            <w:noWrap w:val="0"/>
            <w:vAlign w:val="center"/>
          </w:tcPr>
          <w:p>
            <w:pPr>
              <w:jc w:val="center"/>
              <w:rPr>
                <w:rFonts w:hint="eastAsia" w:ascii="宋体" w:hAnsi="宋体" w:eastAsia="宋体" w:cs="宋体"/>
                <w:kern w:val="2"/>
                <w:sz w:val="18"/>
                <w:szCs w:val="18"/>
                <w:lang w:val="en-US" w:eastAsia="zh-CN" w:bidi="ar-SA"/>
              </w:rPr>
            </w:pPr>
          </w:p>
        </w:tc>
        <w:tc>
          <w:tcPr>
            <w:tcW w:w="400" w:type="pct"/>
            <w:noWrap w:val="0"/>
            <w:vAlign w:val="center"/>
          </w:tcPr>
          <w:p>
            <w:pPr>
              <w:jc w:val="center"/>
              <w:rPr>
                <w:rFonts w:hint="eastAsia" w:ascii="宋体" w:hAnsi="宋体" w:eastAsia="宋体" w:cs="宋体"/>
                <w:kern w:val="2"/>
                <w:sz w:val="18"/>
                <w:szCs w:val="1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1" w:hRule="atLeast"/>
          <w:tblHeader/>
        </w:trPr>
        <w:tc>
          <w:tcPr>
            <w:tcW w:w="646" w:type="pct"/>
            <w:gridSpan w:val="2"/>
            <w:noWrap w:val="0"/>
            <w:vAlign w:val="center"/>
          </w:tcPr>
          <w:p>
            <w:pPr>
              <w:spacing w:line="280" w:lineRule="exact"/>
              <w:jc w:val="center"/>
              <w:rPr>
                <w:rFonts w:hint="eastAsia" w:ascii="Calibri" w:hAnsi="Calibri" w:eastAsia="宋体" w:cstheme="minorBidi"/>
                <w:color w:val="auto"/>
                <w:kern w:val="2"/>
                <w:sz w:val="21"/>
                <w:szCs w:val="22"/>
                <w:lang w:val="en-US" w:eastAsia="zh-CN" w:bidi="ar-SA"/>
              </w:rPr>
            </w:pPr>
            <w:r>
              <w:rPr>
                <w:rFonts w:hint="eastAsia" w:ascii="宋体" w:hAnsi="宋体" w:eastAsia="宋体" w:cs="宋体"/>
                <w:sz w:val="22"/>
                <w:szCs w:val="22"/>
                <w:lang w:val="en-US" w:eastAsia="zh-CN"/>
              </w:rPr>
              <w:t>总分合计</w:t>
            </w:r>
          </w:p>
        </w:tc>
        <w:tc>
          <w:tcPr>
            <w:tcW w:w="3181" w:type="pct"/>
            <w:noWrap w:val="0"/>
            <w:vAlign w:val="center"/>
          </w:tcPr>
          <w:p>
            <w:pPr>
              <w:spacing w:line="280" w:lineRule="exact"/>
              <w:jc w:val="center"/>
              <w:rPr>
                <w:rFonts w:hint="eastAsia" w:ascii="宋体" w:hAnsi="宋体" w:eastAsia="宋体" w:cs="宋体"/>
                <w:b/>
                <w:color w:val="auto"/>
                <w:kern w:val="2"/>
                <w:sz w:val="21"/>
                <w:szCs w:val="22"/>
                <w:lang w:val="en-US" w:eastAsia="zh-CN" w:bidi="ar-SA"/>
              </w:rPr>
            </w:pPr>
            <w:r>
              <w:rPr>
                <w:rFonts w:hint="eastAsia" w:ascii="宋体" w:hAnsi="宋体" w:eastAsia="宋体" w:cs="宋体"/>
                <w:sz w:val="22"/>
                <w:szCs w:val="22"/>
                <w:lang w:val="en-US" w:eastAsia="zh-CN"/>
              </w:rPr>
              <w:t>100分</w:t>
            </w:r>
          </w:p>
        </w:tc>
        <w:tc>
          <w:tcPr>
            <w:tcW w:w="396" w:type="pct"/>
            <w:noWrap w:val="0"/>
            <w:vAlign w:val="center"/>
          </w:tcPr>
          <w:p>
            <w:pPr>
              <w:jc w:val="center"/>
              <w:rPr>
                <w:rFonts w:hint="eastAsia" w:ascii="宋体" w:hAnsi="宋体" w:eastAsia="宋体" w:cs="宋体"/>
                <w:sz w:val="18"/>
                <w:szCs w:val="18"/>
              </w:rPr>
            </w:pPr>
          </w:p>
        </w:tc>
        <w:tc>
          <w:tcPr>
            <w:tcW w:w="375" w:type="pct"/>
            <w:noWrap w:val="0"/>
            <w:vAlign w:val="center"/>
          </w:tcPr>
          <w:p>
            <w:pPr>
              <w:jc w:val="center"/>
              <w:rPr>
                <w:rFonts w:hint="eastAsia" w:ascii="宋体" w:hAnsi="宋体" w:eastAsia="宋体" w:cs="宋体"/>
                <w:sz w:val="18"/>
                <w:szCs w:val="18"/>
              </w:rPr>
            </w:pPr>
          </w:p>
        </w:tc>
        <w:tc>
          <w:tcPr>
            <w:tcW w:w="400" w:type="pct"/>
            <w:noWrap w:val="0"/>
            <w:vAlign w:val="center"/>
          </w:tcPr>
          <w:p>
            <w:pPr>
              <w:jc w:val="center"/>
              <w:rPr>
                <w:rFonts w:hint="eastAsia" w:ascii="宋体" w:hAnsi="宋体" w:eastAsia="宋体" w:cs="宋体"/>
                <w:sz w:val="18"/>
                <w:szCs w:val="18"/>
              </w:rPr>
            </w:pPr>
          </w:p>
        </w:tc>
      </w:tr>
    </w:tbl>
    <w:p>
      <w:pPr>
        <w:bidi w:val="0"/>
        <w:jc w:val="left"/>
        <w:rPr>
          <w:rFonts w:hint="eastAsia" w:ascii="方正仿宋_GBK" w:hAnsi="方正仿宋_GBK" w:eastAsia="方正仿宋_GBK" w:cs="方正仿宋_GBK"/>
          <w:sz w:val="32"/>
          <w:szCs w:val="32"/>
        </w:rPr>
      </w:pPr>
      <w:r>
        <w:rPr>
          <w:rFonts w:hint="eastAsia" w:ascii="仿宋_GB2312" w:hAnsi="仿宋_GB2312" w:eastAsia="仿宋_GB2312" w:cs="仿宋_GB2312"/>
          <w:sz w:val="28"/>
          <w:szCs w:val="28"/>
        </w:rPr>
        <w:t>评</w:t>
      </w:r>
      <w:r>
        <w:rPr>
          <w:rFonts w:hint="eastAsia" w:ascii="仿宋_GB2312" w:hAnsi="仿宋_GB2312" w:eastAsia="仿宋_GB2312" w:cs="仿宋_GB2312"/>
          <w:sz w:val="28"/>
          <w:szCs w:val="28"/>
          <w:lang w:eastAsia="zh-CN"/>
        </w:rPr>
        <w:t>审人员</w:t>
      </w:r>
      <w:r>
        <w:rPr>
          <w:rFonts w:hint="eastAsia" w:ascii="仿宋_GB2312" w:hAnsi="仿宋_GB2312" w:eastAsia="仿宋_GB2312" w:cs="仿宋_GB2312"/>
          <w:sz w:val="28"/>
          <w:szCs w:val="28"/>
        </w:rPr>
        <w:t xml:space="preserve">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年     月    日</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汉仪中圆B5"/>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altName w:val="宋体"/>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F1967"/>
    <w:multiLevelType w:val="singleLevel"/>
    <w:tmpl w:val="FCBF19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B3E5"/>
    <w:rsid w:val="039D15F6"/>
    <w:rsid w:val="07C20F2F"/>
    <w:rsid w:val="16CB8F07"/>
    <w:rsid w:val="53DEB698"/>
    <w:rsid w:val="5E5FC828"/>
    <w:rsid w:val="667DAF6D"/>
    <w:rsid w:val="779F2D85"/>
    <w:rsid w:val="7C399231"/>
    <w:rsid w:val="BEAB3A0B"/>
    <w:rsid w:val="BEDFD033"/>
    <w:rsid w:val="BFBF197B"/>
    <w:rsid w:val="BFCF0091"/>
    <w:rsid w:val="BFFBB0D4"/>
    <w:rsid w:val="CFDFB15E"/>
    <w:rsid w:val="D5BD1563"/>
    <w:rsid w:val="D7D571E2"/>
    <w:rsid w:val="D9763DAB"/>
    <w:rsid w:val="DBBE1C92"/>
    <w:rsid w:val="DFF5204A"/>
    <w:rsid w:val="E7FE5986"/>
    <w:rsid w:val="FCBF4F61"/>
    <w:rsid w:val="FEFD0D97"/>
    <w:rsid w:val="FF2EB8BB"/>
    <w:rsid w:val="FFBDB3E5"/>
    <w:rsid w:val="FFFD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bCs/>
      <w:spacing w:val="10"/>
      <w:kern w:val="0"/>
      <w:sz w:val="24"/>
      <w:szCs w:val="20"/>
    </w:rPr>
  </w:style>
  <w:style w:type="paragraph" w:styleId="3">
    <w:name w:val="Normal Indent"/>
    <w:basedOn w:val="1"/>
    <w:qFormat/>
    <w:uiPriority w:val="0"/>
    <w:pPr>
      <w:widowControl/>
      <w:ind w:firstLine="420"/>
      <w:jc w:val="left"/>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10">
    <w:name w:val="List Paragraph"/>
    <w:basedOn w:val="1"/>
    <w:qFormat/>
    <w:uiPriority w:val="0"/>
    <w:pPr>
      <w:ind w:firstLine="420" w:firstLineChars="200"/>
    </w:pPr>
    <w:rPr>
      <w:rFonts w:ascii="等线" w:hAnsi="等线" w:eastAsia="等线"/>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2023-06-08T10:56:00Z</dcterms:created>
  <dc:creator>蔡丽丽</dc:creator>
  <cp:lastModifiedBy>李柳炜</cp:lastModifiedBy>
  <dcterms:modified xsi:type="dcterms:W3CDTF">2025-09-08T14:49:10Z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